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atLeast"/>
        <w:jc w:val="center"/>
        <w:rPr>
          <w:rFonts w:hint="eastAsia" w:hAnsi="宋体" w:eastAsia="宋体"/>
          <w:b/>
          <w:bCs/>
          <w:color w:val="000000"/>
          <w:sz w:val="84"/>
          <w:szCs w:val="84"/>
          <w:lang w:val="en-US" w:eastAsia="zh-CN"/>
        </w:rPr>
      </w:pPr>
      <w:r>
        <w:rPr>
          <w:rFonts w:hint="eastAsia" w:hAnsi="宋体"/>
          <w:b/>
          <w:bCs/>
          <w:color w:val="000000"/>
          <w:sz w:val="84"/>
          <w:szCs w:val="84"/>
          <w:lang w:val="en-US" w:eastAsia="zh-CN"/>
        </w:rPr>
        <w:t xml:space="preserve"> </w:t>
      </w:r>
    </w:p>
    <w:p>
      <w:pPr>
        <w:pStyle w:val="6"/>
        <w:spacing w:line="400" w:lineRule="atLeast"/>
        <w:jc w:val="center"/>
        <w:rPr>
          <w:rFonts w:hint="eastAsia" w:hAnsi="宋体"/>
          <w:b/>
          <w:bCs/>
          <w:color w:val="000000"/>
          <w:sz w:val="84"/>
          <w:szCs w:val="84"/>
        </w:rPr>
      </w:pPr>
    </w:p>
    <w:p>
      <w:pPr>
        <w:pStyle w:val="6"/>
        <w:spacing w:line="400" w:lineRule="atLeast"/>
        <w:jc w:val="center"/>
        <w:rPr>
          <w:rFonts w:hint="eastAsia" w:hAnsi="宋体"/>
          <w:b/>
          <w:bCs/>
          <w:color w:val="000000"/>
          <w:sz w:val="84"/>
          <w:szCs w:val="84"/>
        </w:rPr>
      </w:pPr>
      <w:r>
        <w:rPr>
          <w:rFonts w:hint="eastAsia" w:hAnsi="宋体"/>
          <w:b/>
          <w:bCs/>
          <w:color w:val="000000"/>
          <w:sz w:val="84"/>
          <w:szCs w:val="84"/>
        </w:rPr>
        <w:t>长沙国际会展中心</w:t>
      </w:r>
    </w:p>
    <w:p>
      <w:pPr>
        <w:pStyle w:val="6"/>
        <w:spacing w:line="400" w:lineRule="atLeast"/>
        <w:jc w:val="center"/>
        <w:rPr>
          <w:rFonts w:hint="eastAsia" w:hAnsi="宋体"/>
          <w:b/>
          <w:bCs/>
          <w:color w:val="000000"/>
          <w:sz w:val="84"/>
          <w:szCs w:val="84"/>
        </w:rPr>
      </w:pPr>
      <w:r>
        <w:rPr>
          <w:rFonts w:hint="eastAsia" w:hAnsi="宋体"/>
          <w:b/>
          <w:bCs/>
          <w:color w:val="000000"/>
          <w:sz w:val="84"/>
          <w:szCs w:val="84"/>
        </w:rPr>
        <w:t>比选文件</w:t>
      </w:r>
    </w:p>
    <w:p>
      <w:pPr>
        <w:pStyle w:val="6"/>
        <w:spacing w:line="400" w:lineRule="atLeast"/>
        <w:jc w:val="center"/>
        <w:rPr>
          <w:rFonts w:hint="eastAsia" w:hAnsi="宋体"/>
          <w:b/>
          <w:bCs/>
          <w:color w:val="000000"/>
          <w:sz w:val="44"/>
          <w:szCs w:val="44"/>
        </w:rPr>
      </w:pPr>
    </w:p>
    <w:p>
      <w:pPr>
        <w:pStyle w:val="6"/>
        <w:spacing w:line="400" w:lineRule="atLeast"/>
        <w:jc w:val="center"/>
        <w:rPr>
          <w:rFonts w:hint="eastAsia" w:hAnsi="宋体"/>
          <w:b/>
          <w:bCs/>
          <w:color w:val="000000"/>
          <w:sz w:val="44"/>
          <w:szCs w:val="44"/>
        </w:rPr>
      </w:pPr>
    </w:p>
    <w:p>
      <w:pPr>
        <w:pStyle w:val="6"/>
        <w:spacing w:line="400" w:lineRule="atLeast"/>
        <w:jc w:val="center"/>
        <w:rPr>
          <w:rFonts w:hint="eastAsia" w:hAnsi="宋体"/>
          <w:bCs/>
          <w:color w:val="000000"/>
        </w:rPr>
      </w:pPr>
    </w:p>
    <w:p>
      <w:pPr>
        <w:pStyle w:val="6"/>
        <w:spacing w:line="400" w:lineRule="atLeast"/>
        <w:jc w:val="center"/>
        <w:rPr>
          <w:rFonts w:hint="eastAsia" w:hAnsi="宋体"/>
          <w:bCs/>
          <w:color w:val="000000"/>
        </w:rPr>
      </w:pPr>
      <w:r>
        <w:rPr>
          <w:rFonts w:hint="eastAsia" w:hAnsi="宋体"/>
          <w:bCs/>
          <w:color w:val="000000"/>
        </w:rPr>
        <w:br w:type="textWrapping"/>
      </w:r>
    </w:p>
    <w:p>
      <w:pPr>
        <w:pStyle w:val="6"/>
        <w:spacing w:before="312" w:beforeLines="100" w:after="312" w:afterLines="100" w:line="500" w:lineRule="exact"/>
        <w:jc w:val="center"/>
        <w:rPr>
          <w:rFonts w:hint="eastAsia" w:hAnsi="宋体"/>
          <w:b/>
          <w:bCs/>
          <w:color w:val="000000"/>
          <w:sz w:val="30"/>
          <w:szCs w:val="30"/>
          <w:u w:val="single"/>
        </w:rPr>
      </w:pPr>
      <w:r>
        <w:rPr>
          <w:rFonts w:hint="eastAsia" w:hAnsi="宋体"/>
          <w:b/>
          <w:bCs/>
          <w:color w:val="000000"/>
          <w:sz w:val="30"/>
          <w:szCs w:val="30"/>
        </w:rPr>
        <w:t>项目名称:</w:t>
      </w:r>
      <w:r>
        <w:rPr>
          <w:rFonts w:hint="eastAsia" w:hAnsi="宋体"/>
          <w:color w:val="000000"/>
          <w:sz w:val="30"/>
          <w:szCs w:val="30"/>
        </w:rPr>
        <w:t xml:space="preserve"> </w:t>
      </w:r>
      <w:r>
        <w:rPr>
          <w:rFonts w:hint="eastAsia" w:hAnsi="宋体" w:cs="Courier New"/>
          <w:b/>
          <w:bCs/>
          <w:color w:val="000000"/>
          <w:sz w:val="30"/>
          <w:szCs w:val="30"/>
          <w:u w:val="single"/>
          <w:lang w:val="en-US" w:eastAsia="zh-CN"/>
        </w:rPr>
        <w:t>长沙国际会展中心展会吊点作业项目</w:t>
      </w:r>
    </w:p>
    <w:p>
      <w:pPr>
        <w:pStyle w:val="6"/>
        <w:spacing w:before="312" w:beforeLines="100" w:after="312" w:afterLines="100" w:line="360" w:lineRule="auto"/>
        <w:ind w:firstLine="2096" w:firstLineChars="696"/>
        <w:rPr>
          <w:rFonts w:hint="eastAsia" w:hAnsi="宋体"/>
          <w:b/>
          <w:bCs/>
          <w:color w:val="000000"/>
          <w:sz w:val="30"/>
          <w:szCs w:val="30"/>
          <w:u w:val="single"/>
        </w:rPr>
      </w:pPr>
      <w:bookmarkStart w:id="0" w:name="_Toc53472201"/>
      <w:bookmarkStart w:id="1" w:name="_Toc34720698"/>
      <w:bookmarkStart w:id="2" w:name="_Toc20988241"/>
      <w:bookmarkStart w:id="3" w:name="_Toc21001314"/>
      <w:bookmarkStart w:id="4" w:name="_Toc35421027"/>
      <w:bookmarkStart w:id="5" w:name="_Toc20642243"/>
      <w:bookmarkStart w:id="6" w:name="_Toc20816073"/>
      <w:bookmarkStart w:id="7" w:name="_Toc21000471"/>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ind w:firstLine="2096" w:firstLineChars="696"/>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sz w:val="30"/>
          <w:szCs w:val="30"/>
          <w:u w:val="single"/>
        </w:rPr>
      </w:pPr>
    </w:p>
    <w:p>
      <w:pPr>
        <w:pStyle w:val="6"/>
        <w:spacing w:before="312" w:beforeLines="100" w:after="312" w:afterLines="100" w:line="360" w:lineRule="auto"/>
        <w:rPr>
          <w:rFonts w:hint="eastAsia" w:hAnsi="宋体"/>
          <w:b/>
          <w:bCs/>
          <w:color w:val="000000"/>
          <w:u w:val="single"/>
        </w:rPr>
      </w:pPr>
    </w:p>
    <w:p>
      <w:pPr>
        <w:pStyle w:val="6"/>
        <w:spacing w:before="312" w:beforeLines="100" w:after="312" w:afterLines="100" w:line="360" w:lineRule="auto"/>
        <w:rPr>
          <w:rFonts w:hint="eastAsia" w:hAnsi="宋体"/>
          <w:b/>
          <w:bCs/>
          <w:color w:val="000000"/>
          <w:u w:val="single"/>
        </w:rPr>
      </w:pPr>
    </w:p>
    <w:bookmarkEnd w:id="0"/>
    <w:bookmarkEnd w:id="1"/>
    <w:bookmarkEnd w:id="2"/>
    <w:bookmarkEnd w:id="3"/>
    <w:bookmarkEnd w:id="4"/>
    <w:bookmarkEnd w:id="5"/>
    <w:bookmarkEnd w:id="6"/>
    <w:bookmarkEnd w:id="7"/>
    <w:p>
      <w:pPr>
        <w:numPr>
          <w:ilvl w:val="0"/>
          <w:numId w:val="1"/>
        </w:numPr>
        <w:adjustRightInd w:val="0"/>
        <w:snapToGrid w:val="0"/>
        <w:spacing w:before="156" w:beforeLines="50" w:line="360" w:lineRule="auto"/>
        <w:rPr>
          <w:rFonts w:hint="eastAsia" w:ascii="仿宋" w:hAnsi="仿宋" w:eastAsia="仿宋" w:cs="仿宋"/>
          <w:b/>
          <w:color w:val="000000"/>
          <w:szCs w:val="21"/>
        </w:rPr>
        <w:sectPr>
          <w:headerReference r:id="rId3" w:type="default"/>
          <w:pgSz w:w="11906" w:h="16838"/>
          <w:pgMar w:top="1440" w:right="1140" w:bottom="1440" w:left="1140" w:header="851" w:footer="992" w:gutter="0"/>
          <w:cols w:space="720" w:num="1"/>
          <w:docGrid w:type="lines" w:linePitch="312" w:charSpace="0"/>
        </w:sectPr>
      </w:pPr>
    </w:p>
    <w:p>
      <w:pPr>
        <w:numPr>
          <w:ilvl w:val="0"/>
          <w:numId w:val="1"/>
        </w:numPr>
        <w:adjustRightInd w:val="0"/>
        <w:snapToGrid w:val="0"/>
        <w:spacing w:before="156" w:beforeLines="5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项目概况</w:t>
      </w:r>
    </w:p>
    <w:p>
      <w:pPr>
        <w:numPr>
          <w:ilvl w:val="0"/>
          <w:numId w:val="0"/>
        </w:num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项目名称：</w:t>
      </w:r>
      <w:r>
        <w:rPr>
          <w:rFonts w:hint="eastAsia" w:ascii="仿宋" w:hAnsi="仿宋" w:eastAsia="仿宋" w:cs="仿宋"/>
          <w:color w:val="000000"/>
          <w:sz w:val="28"/>
          <w:szCs w:val="28"/>
          <w:lang w:eastAsia="zh-CN"/>
        </w:rPr>
        <w:t>长沙国际会展中心展会吊点作业项目</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）评标办法：</w:t>
      </w:r>
      <w:r>
        <w:rPr>
          <w:rFonts w:hint="eastAsia" w:ascii="仿宋" w:hAnsi="仿宋" w:eastAsia="仿宋" w:cs="仿宋"/>
          <w:color w:val="000000"/>
          <w:sz w:val="28"/>
          <w:szCs w:val="28"/>
          <w:lang w:val="en-US" w:eastAsia="zh-CN"/>
        </w:rPr>
        <w:t>综合评标法</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）采购单位：长沙国际会展中心管理有限责任公司</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）项目地点：长沙国际会展中心</w:t>
      </w:r>
    </w:p>
    <w:p>
      <w:pPr>
        <w:pStyle w:val="2"/>
        <w:rPr>
          <w:rFonts w:hint="default" w:eastAsia="仿宋"/>
          <w:lang w:val="en-US"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服务期：三年</w:t>
      </w:r>
    </w:p>
    <w:p>
      <w:pPr>
        <w:adjustRightInd w:val="0"/>
        <w:snapToGrid w:val="0"/>
        <w:spacing w:before="156" w:beforeLines="50" w:line="360" w:lineRule="auto"/>
        <w:rPr>
          <w:rFonts w:hint="eastAsia" w:ascii="仿宋" w:hAnsi="仿宋" w:eastAsia="仿宋" w:cs="仿宋"/>
          <w:b/>
          <w:bCs/>
          <w:color w:val="000000"/>
          <w:sz w:val="28"/>
          <w:szCs w:val="28"/>
        </w:rPr>
      </w:pPr>
      <w:r>
        <w:rPr>
          <w:rFonts w:hint="eastAsia" w:ascii="仿宋" w:hAnsi="仿宋" w:eastAsia="仿宋" w:cs="仿宋"/>
          <w:b/>
          <w:color w:val="000000"/>
          <w:sz w:val="28"/>
          <w:szCs w:val="28"/>
        </w:rPr>
        <w:t>二、参选单位</w:t>
      </w:r>
      <w:r>
        <w:rPr>
          <w:rFonts w:hint="eastAsia" w:ascii="仿宋" w:hAnsi="仿宋" w:eastAsia="仿宋" w:cs="仿宋"/>
          <w:b/>
          <w:bCs/>
          <w:color w:val="000000"/>
          <w:sz w:val="28"/>
          <w:szCs w:val="28"/>
        </w:rPr>
        <w:t>资格要求</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（一）参选单位不得存在下列情形之一：</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1.与采购单位存在</w:t>
      </w:r>
      <w:r>
        <w:rPr>
          <w:rFonts w:hint="eastAsia" w:ascii="仿宋" w:hAnsi="仿宋" w:eastAsia="仿宋" w:cs="仿宋"/>
          <w:bCs/>
          <w:color w:val="000000"/>
          <w:sz w:val="28"/>
          <w:szCs w:val="28"/>
        </w:rPr>
        <w:t>隶属关系或者其他利害关系</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2.与其他参选单位的法定代表人（或者负责人）为同一人，或者与其他参选单位存在直接控股、管理关系；</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发包方预审查询</w:t>
      </w:r>
      <w:r>
        <w:rPr>
          <w:rFonts w:hint="eastAsia" w:ascii="仿宋" w:hAnsi="仿宋" w:eastAsia="仿宋" w:cs="仿宋"/>
          <w:color w:val="000000"/>
          <w:sz w:val="28"/>
          <w:szCs w:val="28"/>
          <w:lang w:eastAsia="zh-CN"/>
        </w:rPr>
        <w:t>）</w:t>
      </w:r>
    </w:p>
    <w:p>
      <w:pPr>
        <w:adjustRightInd w:val="0"/>
        <w:snapToGri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w:t>
      </w:r>
      <w:r>
        <w:rPr>
          <w:rFonts w:hint="eastAsia" w:ascii="仿宋" w:hAnsi="仿宋" w:eastAsia="仿宋" w:cs="仿宋"/>
          <w:bCs/>
          <w:color w:val="000000"/>
          <w:sz w:val="28"/>
          <w:szCs w:val="28"/>
        </w:rPr>
        <w:t>受到刑事处罚、责令停产停业、在一至三年内禁止参加政府采购活动、暂扣或者吊销许可证、暂扣或者吊销执照等情形之一的行政处罚，或者存在</w:t>
      </w:r>
      <w:r>
        <w:rPr>
          <w:rFonts w:hint="eastAsia" w:ascii="仿宋" w:hAnsi="仿宋" w:eastAsia="仿宋" w:cs="仿宋"/>
          <w:color w:val="000000"/>
          <w:sz w:val="28"/>
          <w:szCs w:val="28"/>
        </w:rPr>
        <w:t>财政部门认定的其他重大违法记录；</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提交盖章承诺书</w:t>
      </w:r>
      <w:r>
        <w:rPr>
          <w:rFonts w:hint="eastAsia" w:ascii="仿宋" w:hAnsi="仿宋" w:eastAsia="仿宋" w:cs="仿宋"/>
          <w:color w:val="000000"/>
          <w:sz w:val="28"/>
          <w:szCs w:val="28"/>
          <w:lang w:eastAsia="zh-CN"/>
        </w:rPr>
        <w:t>）</w:t>
      </w:r>
    </w:p>
    <w:p>
      <w:pPr>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（二）参选单位基本资格条件：</w:t>
      </w:r>
    </w:p>
    <w:p>
      <w:pPr>
        <w:adjustRightInd w:val="0"/>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1.参选单位提供“三证合一”登记制度改革的新证，视同为持有工商营业执照、组织机构代码证和税务登记证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提供副本，</w:t>
      </w:r>
      <w:r>
        <w:rPr>
          <w:rFonts w:hint="eastAsia" w:ascii="仿宋" w:hAnsi="仿宋" w:eastAsia="仿宋" w:cs="仿宋"/>
          <w:color w:val="000000"/>
          <w:sz w:val="28"/>
          <w:szCs w:val="28"/>
        </w:rPr>
        <w:t>经营范围</w:t>
      </w:r>
      <w:r>
        <w:rPr>
          <w:rFonts w:hint="eastAsia" w:ascii="仿宋" w:hAnsi="仿宋" w:eastAsia="仿宋" w:cs="仿宋"/>
          <w:color w:val="000000"/>
          <w:sz w:val="28"/>
          <w:szCs w:val="28"/>
          <w:lang w:val="en-US" w:eastAsia="zh-CN"/>
        </w:rPr>
        <w:t>须包含相关内容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参选单位企业成立时间不得低于3年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提供一般纳税人认定表复印件。</w:t>
      </w:r>
    </w:p>
    <w:p>
      <w:pPr>
        <w:adjustRightIn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参选单位提供</w:t>
      </w:r>
      <w:r>
        <w:rPr>
          <w:rFonts w:hint="eastAsia" w:ascii="仿宋" w:hAnsi="仿宋" w:eastAsia="仿宋" w:cs="仿宋"/>
          <w:color w:val="000000"/>
          <w:sz w:val="28"/>
          <w:szCs w:val="28"/>
          <w:lang w:val="en-US" w:eastAsia="zh-CN"/>
        </w:rPr>
        <w:t>法定代表人证明及法定代表人授权委托书（原件加盖公章），被授权人提供身份证原件；</w:t>
      </w:r>
    </w:p>
    <w:p>
      <w:pPr>
        <w:adjustRightInd w:val="0"/>
        <w:spacing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3.参选单位持有高空作业证人员不低于3人、安全员证（C类及以上）人员不低于1人，提供证书原件、劳动合同复印件。</w:t>
      </w:r>
    </w:p>
    <w:p>
      <w:pPr>
        <w:adjustRightInd w:val="0"/>
        <w:spacing w:line="360" w:lineRule="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lang w:val="en-US" w:eastAsia="zh-CN"/>
        </w:rPr>
        <w:t>4.参选单位须提供一个近三年内会展中心/会议中心/文化艺术中心等年度吊点作业服务合同</w:t>
      </w:r>
      <w:r>
        <w:rPr>
          <w:rFonts w:hint="eastAsia" w:ascii="仿宋" w:hAnsi="仿宋" w:eastAsia="仿宋" w:cs="仿宋"/>
          <w:color w:val="000000"/>
          <w:sz w:val="28"/>
          <w:szCs w:val="28"/>
          <w:highlight w:val="none"/>
          <w:lang w:val="en-US" w:eastAsia="zh-CN"/>
        </w:rPr>
        <w:t>或展会/会议/活动/演出等项目的吊点业绩，要求单个项目吊点数不低于300个（提供合同原件或甲方签字的派工单）。</w:t>
      </w:r>
    </w:p>
    <w:p>
      <w:pPr>
        <w:adjustRightInd w:val="0"/>
        <w:spacing w:line="360" w:lineRule="auto"/>
        <w:rPr>
          <w:rFonts w:hint="eastAsia"/>
          <w:lang w:val="en-US" w:eastAsia="zh-CN"/>
        </w:rPr>
      </w:pPr>
      <w:r>
        <w:rPr>
          <w:rFonts w:hint="eastAsia" w:ascii="仿宋" w:hAnsi="仿宋" w:eastAsia="仿宋" w:cs="仿宋"/>
          <w:color w:val="000000"/>
          <w:sz w:val="28"/>
          <w:szCs w:val="28"/>
          <w:lang w:val="en-US" w:eastAsia="zh-CN"/>
        </w:rPr>
        <w:t>5.不接受联合体参加。</w:t>
      </w:r>
    </w:p>
    <w:p>
      <w:pPr>
        <w:adjustRightInd w:val="0"/>
        <w:spacing w:line="360" w:lineRule="auto"/>
        <w:rPr>
          <w:rFonts w:hint="default"/>
          <w:lang w:val="en-US" w:eastAsia="zh-CN"/>
        </w:rPr>
      </w:pPr>
      <w:r>
        <w:rPr>
          <w:rFonts w:hint="eastAsia" w:ascii="仿宋" w:hAnsi="仿宋" w:eastAsia="仿宋" w:cs="仿宋"/>
          <w:color w:val="000000"/>
          <w:sz w:val="28"/>
          <w:szCs w:val="28"/>
          <w:lang w:val="en-US" w:eastAsia="zh-CN"/>
        </w:rPr>
        <w:t>6.以上文件未提供或不符合要求的，取消参选资格。</w:t>
      </w:r>
    </w:p>
    <w:p>
      <w:pPr>
        <w:numPr>
          <w:ilvl w:val="0"/>
          <w:numId w:val="0"/>
        </w:numPr>
        <w:spacing w:line="240" w:lineRule="auto"/>
        <w:rPr>
          <w:rFonts w:hint="eastAsia" w:ascii="仿宋" w:hAnsi="仿宋" w:eastAsia="仿宋" w:cs="仿宋"/>
          <w:bCs/>
          <w:color w:val="000000"/>
          <w:sz w:val="28"/>
          <w:szCs w:val="28"/>
          <w:lang w:val="en-US" w:eastAsia="zh-CN"/>
        </w:rPr>
      </w:pPr>
    </w:p>
    <w:p>
      <w:pPr>
        <w:adjustRightInd w:val="0"/>
        <w:snapToGrid w:val="0"/>
        <w:spacing w:before="156" w:beforeLines="50"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三、投标文件的组成</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（一）报价表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（二）参选单位类似业绩汇总表</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展会吊点作业</w:t>
      </w:r>
      <w:r>
        <w:rPr>
          <w:rFonts w:hint="eastAsia" w:ascii="仿宋" w:hAnsi="仿宋" w:eastAsia="仿宋" w:cs="仿宋"/>
          <w:color w:val="000000"/>
          <w:sz w:val="28"/>
          <w:szCs w:val="28"/>
        </w:rPr>
        <w:t>方案</w:t>
      </w:r>
    </w:p>
    <w:p>
      <w:pPr>
        <w:adjustRightInd w:val="0"/>
        <w:snapToGrid w:val="0"/>
        <w:spacing w:line="360" w:lineRule="auto"/>
        <w:rPr>
          <w:rFonts w:hint="eastAsia" w:ascii="仿宋" w:hAnsi="仿宋" w:eastAsia="仿宋" w:cs="仿宋"/>
          <w:color w:val="000000"/>
          <w:sz w:val="28"/>
          <w:szCs w:val="28"/>
        </w:rPr>
      </w:pPr>
    </w:p>
    <w:p>
      <w:pPr>
        <w:adjustRightInd w:val="0"/>
        <w:snapToGrid w:val="0"/>
        <w:spacing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四、公告时间及报名地点</w:t>
      </w:r>
    </w:p>
    <w:p>
      <w:pPr>
        <w:adjustRightInd w:val="0"/>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（一）比选公告期限：</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30</w:t>
      </w:r>
      <w:r>
        <w:rPr>
          <w:rFonts w:hint="eastAsia" w:ascii="仿宋" w:hAnsi="仿宋" w:eastAsia="仿宋" w:cs="仿宋"/>
          <w:color w:val="000000"/>
          <w:sz w:val="28"/>
          <w:szCs w:val="28"/>
        </w:rPr>
        <w:t>日</w:t>
      </w:r>
      <w:r>
        <w:rPr>
          <w:rFonts w:hint="eastAsia" w:ascii="仿宋" w:hAnsi="仿宋" w:eastAsia="仿宋" w:cs="仿宋"/>
          <w:color w:val="000000"/>
          <w:sz w:val="28"/>
          <w:szCs w:val="28"/>
          <w:u w:val="single"/>
          <w:lang w:val="en-US" w:eastAsia="zh-CN"/>
        </w:rPr>
        <w:t>9:00</w:t>
      </w:r>
      <w:r>
        <w:rPr>
          <w:rFonts w:hint="eastAsia" w:ascii="仿宋" w:hAnsi="仿宋" w:eastAsia="仿宋" w:cs="仿宋"/>
          <w:color w:val="000000"/>
          <w:sz w:val="28"/>
          <w:szCs w:val="28"/>
          <w:u w:val="none"/>
          <w:lang w:val="en-US" w:eastAsia="zh-CN"/>
        </w:rPr>
        <w:t>时</w:t>
      </w:r>
      <w:r>
        <w:rPr>
          <w:rFonts w:hint="eastAsia" w:ascii="仿宋" w:hAnsi="仿宋" w:eastAsia="仿宋" w:cs="仿宋"/>
          <w:color w:val="000000"/>
          <w:sz w:val="28"/>
          <w:szCs w:val="28"/>
        </w:rPr>
        <w:t>至</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6</w:t>
      </w:r>
      <w:bookmarkStart w:id="17" w:name="_GoBack"/>
      <w:bookmarkEnd w:id="17"/>
      <w:r>
        <w:rPr>
          <w:rFonts w:hint="eastAsia" w:ascii="仿宋" w:hAnsi="仿宋" w:eastAsia="仿宋" w:cs="仿宋"/>
          <w:color w:val="000000"/>
          <w:sz w:val="28"/>
          <w:szCs w:val="28"/>
        </w:rPr>
        <w:t>日</w:t>
      </w:r>
      <w:r>
        <w:rPr>
          <w:rFonts w:hint="eastAsia" w:ascii="仿宋" w:hAnsi="仿宋" w:eastAsia="仿宋" w:cs="仿宋"/>
          <w:color w:val="000000"/>
          <w:sz w:val="28"/>
          <w:szCs w:val="28"/>
          <w:u w:val="single"/>
          <w:lang w:val="en-US" w:eastAsia="zh-CN"/>
        </w:rPr>
        <w:t>17:00</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止（5个工作日）。</w:t>
      </w:r>
    </w:p>
    <w:p>
      <w:pPr>
        <w:pStyle w:val="9"/>
        <w:wordWrap w:val="0"/>
        <w:spacing w:after="0" w:line="360" w:lineRule="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（二）凡符合比选资格要求并有意参加者，请登</w:t>
      </w:r>
      <w:r>
        <w:rPr>
          <w:rFonts w:hint="eastAsia" w:ascii="仿宋" w:hAnsi="仿宋" w:eastAsia="仿宋" w:cs="仿宋"/>
          <w:color w:val="000000"/>
          <w:sz w:val="28"/>
          <w:szCs w:val="28"/>
          <w:lang w:eastAsia="zh-CN"/>
        </w:rPr>
        <w:t>录</w:t>
      </w:r>
      <w:r>
        <w:rPr>
          <w:rFonts w:hint="eastAsia" w:ascii="仿宋" w:hAnsi="仿宋" w:eastAsia="仿宋" w:cs="仿宋"/>
          <w:color w:val="000000"/>
          <w:sz w:val="28"/>
          <w:szCs w:val="28"/>
        </w:rPr>
        <w:t>网站（</w:t>
      </w:r>
      <w:r>
        <w:rPr>
          <w:rFonts w:ascii="宋体" w:hAnsi="宋体" w:eastAsia="宋体" w:cs="宋体"/>
          <w:sz w:val="24"/>
          <w:szCs w:val="24"/>
        </w:rPr>
        <w:fldChar w:fldCharType="begin"/>
      </w:r>
      <w:r>
        <w:rPr>
          <w:rFonts w:ascii="宋体" w:hAnsi="宋体" w:eastAsia="宋体" w:cs="宋体"/>
          <w:sz w:val="24"/>
          <w:szCs w:val="24"/>
        </w:rPr>
        <w:instrText xml:space="preserve"> HYPERLINK "http://www.vewise.net/" </w:instrText>
      </w:r>
      <w:r>
        <w:rPr>
          <w:rFonts w:ascii="宋体" w:hAnsi="宋体" w:eastAsia="宋体" w:cs="宋体"/>
          <w:sz w:val="24"/>
          <w:szCs w:val="24"/>
        </w:rPr>
        <w:fldChar w:fldCharType="separate"/>
      </w:r>
      <w:r>
        <w:rPr>
          <w:rStyle w:val="14"/>
          <w:rFonts w:ascii="宋体" w:hAnsi="宋体" w:eastAsia="宋体" w:cs="宋体"/>
          <w:sz w:val="24"/>
          <w:szCs w:val="24"/>
        </w:rPr>
        <w:t>http://www.vewise.net/</w:t>
      </w:r>
      <w:r>
        <w:rPr>
          <w:rFonts w:ascii="宋体" w:hAnsi="宋体" w:eastAsia="宋体" w:cs="宋体"/>
          <w:sz w:val="24"/>
          <w:szCs w:val="24"/>
        </w:rPr>
        <w:fldChar w:fldCharType="end"/>
      </w:r>
      <w:r>
        <w:rPr>
          <w:rFonts w:hint="eastAsia" w:ascii="仿宋" w:hAnsi="仿宋" w:eastAsia="仿宋" w:cs="仿宋"/>
          <w:color w:val="000000"/>
          <w:sz w:val="28"/>
          <w:szCs w:val="28"/>
        </w:rPr>
        <w:t>）报名，报名</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提交</w:t>
      </w:r>
      <w:r>
        <w:rPr>
          <w:rFonts w:hint="eastAsia" w:ascii="仿宋" w:hAnsi="仿宋" w:eastAsia="仿宋" w:cs="仿宋"/>
          <w:color w:val="000000"/>
          <w:sz w:val="28"/>
          <w:szCs w:val="28"/>
          <w:lang w:eastAsia="zh-CN"/>
        </w:rPr>
        <w:t>比选</w:t>
      </w:r>
      <w:r>
        <w:rPr>
          <w:rFonts w:hint="eastAsia" w:ascii="仿宋" w:hAnsi="仿宋" w:eastAsia="仿宋" w:cs="仿宋"/>
          <w:color w:val="000000"/>
          <w:sz w:val="28"/>
          <w:szCs w:val="28"/>
        </w:rPr>
        <w:t>基本资格文件进行预审。</w:t>
      </w:r>
      <w:r>
        <w:rPr>
          <w:rFonts w:hint="eastAsia" w:ascii="仿宋" w:hAnsi="仿宋" w:eastAsia="仿宋" w:cs="仿宋"/>
          <w:color w:val="000000"/>
          <w:sz w:val="28"/>
          <w:szCs w:val="28"/>
          <w:lang w:val="en-US" w:eastAsia="zh-CN"/>
        </w:rPr>
        <w:t>如开标时参选单位未按时到达现场提交投标文件，则视为弃权。</w:t>
      </w:r>
    </w:p>
    <w:p>
      <w:pPr>
        <w:pStyle w:val="9"/>
        <w:wordWrap w:val="0"/>
        <w:spacing w:after="0" w:line="360" w:lineRule="auto"/>
        <w:rPr>
          <w:rFonts w:hint="eastAsia" w:ascii="仿宋" w:hAnsi="仿宋" w:eastAsia="仿宋" w:cs="仿宋"/>
          <w:color w:val="000000"/>
          <w:sz w:val="28"/>
          <w:szCs w:val="28"/>
        </w:rPr>
      </w:pPr>
    </w:p>
    <w:p>
      <w:pPr>
        <w:pStyle w:val="9"/>
        <w:wordWrap w:val="0"/>
        <w:spacing w:after="0"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五、联系人姓名和电话</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采购</w:t>
      </w:r>
      <w:r>
        <w:rPr>
          <w:rFonts w:hint="eastAsia" w:ascii="仿宋" w:hAnsi="仿宋" w:eastAsia="仿宋" w:cs="仿宋"/>
          <w:iCs/>
          <w:color w:val="000000"/>
          <w:sz w:val="28"/>
          <w:szCs w:val="28"/>
        </w:rPr>
        <w:t>单位</w:t>
      </w:r>
      <w:r>
        <w:rPr>
          <w:rFonts w:hint="eastAsia" w:ascii="仿宋" w:hAnsi="仿宋" w:eastAsia="仿宋" w:cs="仿宋"/>
          <w:color w:val="000000"/>
          <w:sz w:val="28"/>
          <w:szCs w:val="28"/>
        </w:rPr>
        <w:t xml:space="preserve">名称：长沙国际会展中心管理有限责任公司    </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地        址：长沙县黄兴镇国展路118号长沙国际会展中心</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联系人及联系方式：文闻 18670060930    </w:t>
      </w:r>
      <w:r>
        <w:rPr>
          <w:rFonts w:hint="eastAsia" w:ascii="仿宋" w:hAnsi="仿宋" w:eastAsia="仿宋" w:cs="仿宋"/>
          <w:color w:val="000000"/>
          <w:sz w:val="28"/>
          <w:szCs w:val="28"/>
          <w:lang w:eastAsia="zh-CN"/>
        </w:rPr>
        <w:t>谢建文</w:t>
      </w:r>
      <w:r>
        <w:rPr>
          <w:rFonts w:hint="eastAsia" w:ascii="仿宋" w:hAnsi="仿宋" w:eastAsia="仿宋" w:cs="仿宋"/>
          <w:color w:val="000000"/>
          <w:sz w:val="28"/>
          <w:szCs w:val="28"/>
          <w:lang w:val="en-US" w:eastAsia="zh-CN"/>
        </w:rPr>
        <w:t xml:space="preserve"> 13574174154</w:t>
      </w:r>
      <w:r>
        <w:rPr>
          <w:rFonts w:hint="eastAsia" w:ascii="仿宋" w:hAnsi="仿宋" w:eastAsia="仿宋" w:cs="仿宋"/>
          <w:color w:val="000000"/>
          <w:sz w:val="28"/>
          <w:szCs w:val="28"/>
        </w:rPr>
        <w:t xml:space="preserve">                                   </w:t>
      </w:r>
    </w:p>
    <w:p>
      <w:pPr>
        <w:adjustRightInd w:val="0"/>
        <w:snapToGrid w:val="0"/>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监督电话：</w:t>
      </w:r>
      <w:r>
        <w:rPr>
          <w:rFonts w:hint="eastAsia" w:ascii="仿宋" w:hAnsi="仿宋" w:eastAsia="仿宋" w:cs="仿宋"/>
          <w:color w:val="000000"/>
          <w:sz w:val="28"/>
          <w:szCs w:val="28"/>
          <w:lang w:val="en-US" w:eastAsia="zh-CN"/>
        </w:rPr>
        <w:t xml:space="preserve">肖金香15675191002    </w:t>
      </w:r>
      <w:r>
        <w:rPr>
          <w:rFonts w:hint="eastAsia" w:ascii="仿宋" w:hAnsi="仿宋" w:eastAsia="仿宋" w:cs="仿宋"/>
          <w:color w:val="000000"/>
          <w:sz w:val="28"/>
          <w:szCs w:val="28"/>
          <w:lang w:eastAsia="zh-CN"/>
        </w:rPr>
        <w:t>姚立花</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18153332693</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举报联系部门及电话：</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部</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门：长沙城市发展集团有限公司纪检监察室</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电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话：0731-88797919</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 xml:space="preserve">地  </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址：长沙市岳麓区先导路湘江时代商务广场A1座13A层</w:t>
      </w:r>
    </w:p>
    <w:p>
      <w:pPr>
        <w:adjustRightInd w:val="0"/>
        <w:snapToGrid w:val="0"/>
        <w:spacing w:line="360" w:lineRule="auto"/>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邮</w:t>
      </w:r>
      <w:r>
        <w:rPr>
          <w:rFonts w:hint="eastAsia" w:ascii="仿宋" w:hAnsi="仿宋" w:eastAsia="仿宋" w:cs="仿宋"/>
          <w:color w:val="000000"/>
          <w:sz w:val="28"/>
          <w:szCs w:val="28"/>
          <w:lang w:val="en-US" w:eastAsia="zh-CN"/>
        </w:rPr>
        <w:t xml:space="preserve">        </w:t>
      </w:r>
      <w:r>
        <w:rPr>
          <w:rFonts w:hint="default" w:ascii="仿宋" w:hAnsi="仿宋" w:eastAsia="仿宋" w:cs="仿宋"/>
          <w:color w:val="000000"/>
          <w:sz w:val="28"/>
          <w:szCs w:val="28"/>
          <w:lang w:val="en-US" w:eastAsia="zh-CN"/>
        </w:rPr>
        <w:t>箱：cscfjj@163.com</w:t>
      </w:r>
    </w:p>
    <w:p>
      <w:pPr>
        <w:adjustRightInd w:val="0"/>
        <w:snapToGrid w:val="0"/>
        <w:spacing w:line="360" w:lineRule="auto"/>
        <w:rPr>
          <w:rFonts w:hint="default" w:ascii="仿宋" w:hAnsi="仿宋" w:eastAsia="仿宋" w:cs="仿宋"/>
          <w:color w:val="000000"/>
          <w:sz w:val="28"/>
          <w:szCs w:val="28"/>
          <w:lang w:val="en-US" w:eastAsia="zh-CN"/>
        </w:rPr>
      </w:pPr>
    </w:p>
    <w:p>
      <w:pPr>
        <w:adjustRightInd w:val="0"/>
        <w:snapToGrid w:val="0"/>
        <w:spacing w:line="360" w:lineRule="auto"/>
        <w:ind w:firstLine="560" w:firstLineChars="200"/>
        <w:jc w:val="left"/>
        <w:rPr>
          <w:rFonts w:hint="eastAsia" w:ascii="仿宋" w:hAnsi="仿宋" w:eastAsia="仿宋" w:cs="仿宋"/>
          <w:color w:val="000000"/>
          <w:sz w:val="28"/>
          <w:szCs w:val="28"/>
        </w:rPr>
      </w:pPr>
    </w:p>
    <w:p>
      <w:pPr>
        <w:adjustRightInd w:val="0"/>
        <w:snapToGrid w:val="0"/>
        <w:spacing w:line="36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六、比选流程</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（一）比选当日参选单位于规定时间到达比选场地并进行登记；</w:t>
      </w:r>
    </w:p>
    <w:p>
      <w:pPr>
        <w:adjustRightInd w:val="0"/>
        <w:snapToGrid w:val="0"/>
        <w:spacing w:line="360" w:lineRule="auto"/>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评委组</w:t>
      </w:r>
      <w:r>
        <w:rPr>
          <w:rFonts w:hint="eastAsia" w:ascii="仿宋" w:hAnsi="仿宋" w:eastAsia="仿宋" w:cs="仿宋"/>
          <w:color w:val="000000"/>
          <w:sz w:val="28"/>
          <w:szCs w:val="28"/>
        </w:rPr>
        <w:t>检验参选单位</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资质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公司纪检专员</w:t>
      </w:r>
      <w:r>
        <w:rPr>
          <w:rFonts w:hint="eastAsia" w:ascii="仿宋" w:hAnsi="仿宋" w:eastAsia="仿宋" w:cs="仿宋"/>
          <w:color w:val="000000"/>
          <w:sz w:val="28"/>
          <w:szCs w:val="28"/>
          <w:lang w:val="en-US" w:eastAsia="zh-CN"/>
        </w:rPr>
        <w:t>复核；</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（三）检查标书密封性无误后进行标书拆封；</w:t>
      </w:r>
    </w:p>
    <w:p>
      <w:pPr>
        <w:adjustRightInd w:val="0"/>
        <w:snapToGrid w:val="0"/>
        <w:spacing w:line="360" w:lineRule="auto"/>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（四）现场唱标，参选单位对各自报价签字确认；</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）评委组根据各参选单位</w:t>
      </w:r>
      <w:r>
        <w:rPr>
          <w:rFonts w:hint="eastAsia" w:ascii="仿宋" w:hAnsi="仿宋" w:eastAsia="仿宋" w:cs="仿宋"/>
          <w:color w:val="000000"/>
          <w:sz w:val="28"/>
          <w:szCs w:val="28"/>
          <w:lang w:val="en-US" w:eastAsia="zh-CN"/>
        </w:rPr>
        <w:t>投标文件进行打分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并</w:t>
      </w:r>
      <w:r>
        <w:rPr>
          <w:rFonts w:hint="eastAsia" w:ascii="仿宋" w:hAnsi="仿宋" w:eastAsia="仿宋" w:cs="仿宋"/>
          <w:color w:val="000000"/>
          <w:sz w:val="28"/>
          <w:szCs w:val="28"/>
        </w:rPr>
        <w:t>统计</w:t>
      </w:r>
      <w:r>
        <w:rPr>
          <w:rFonts w:hint="eastAsia" w:ascii="仿宋" w:hAnsi="仿宋" w:eastAsia="仿宋" w:cs="仿宋"/>
          <w:color w:val="000000"/>
          <w:sz w:val="28"/>
          <w:szCs w:val="28"/>
          <w:lang w:val="en-US" w:eastAsia="zh-CN"/>
        </w:rPr>
        <w:t>打分排名</w:t>
      </w:r>
      <w:r>
        <w:rPr>
          <w:rFonts w:hint="eastAsia" w:ascii="仿宋" w:hAnsi="仿宋" w:eastAsia="仿宋" w:cs="仿宋"/>
          <w:color w:val="000000"/>
          <w:sz w:val="28"/>
          <w:szCs w:val="28"/>
        </w:rPr>
        <w:t>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）评委组向各参选单位现场宣布排名情况；</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）参选单位对得分排名</w:t>
      </w:r>
      <w:r>
        <w:rPr>
          <w:rFonts w:hint="eastAsia" w:ascii="仿宋" w:hAnsi="仿宋" w:eastAsia="仿宋" w:cs="仿宋"/>
          <w:color w:val="000000"/>
          <w:sz w:val="28"/>
          <w:szCs w:val="28"/>
          <w:lang w:val="en-US" w:eastAsia="zh-CN"/>
        </w:rPr>
        <w:t>表</w:t>
      </w:r>
      <w:r>
        <w:rPr>
          <w:rFonts w:hint="eastAsia" w:ascii="仿宋" w:hAnsi="仿宋" w:eastAsia="仿宋" w:cs="仿宋"/>
          <w:color w:val="000000"/>
          <w:sz w:val="28"/>
          <w:szCs w:val="28"/>
        </w:rPr>
        <w:t>进行签字确认；</w:t>
      </w:r>
    </w:p>
    <w:p>
      <w:pPr>
        <w:adjustRightInd w:val="0"/>
        <w:snapToGrid w:val="0"/>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rPr>
        <w:t>）评委组及纪检专员对排名</w:t>
      </w:r>
      <w:r>
        <w:rPr>
          <w:rFonts w:hint="eastAsia" w:ascii="仿宋" w:hAnsi="仿宋" w:eastAsia="仿宋" w:cs="仿宋"/>
          <w:color w:val="000000"/>
          <w:sz w:val="28"/>
          <w:szCs w:val="28"/>
          <w:lang w:val="en-US" w:eastAsia="zh-CN"/>
        </w:rPr>
        <w:t>表</w:t>
      </w:r>
      <w:r>
        <w:rPr>
          <w:rFonts w:hint="eastAsia" w:ascii="仿宋" w:hAnsi="仿宋" w:eastAsia="仿宋" w:cs="仿宋"/>
          <w:color w:val="000000"/>
          <w:sz w:val="28"/>
          <w:szCs w:val="28"/>
        </w:rPr>
        <w:t>进行签字确认。</w:t>
      </w:r>
    </w:p>
    <w:p>
      <w:pPr>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排名情况网络公示。</w:t>
      </w:r>
    </w:p>
    <w:p>
      <w:pPr>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与两家单位签订服务合同（招选排名第一、第二名）。第一名为主服务单位，第二名为补充服务单位。同期仅有一个展会、活动需吊点时，由主服务单位负责实施；同期有两个及以上展会、活动同时需吊点时，补充服务单位协同实施。吊点服务单价以主单位报价为准。</w:t>
      </w:r>
    </w:p>
    <w:p>
      <w:pPr>
        <w:adjustRightInd w:val="0"/>
        <w:snapToGrid w:val="0"/>
        <w:spacing w:line="360" w:lineRule="auto"/>
        <w:jc w:val="left"/>
        <w:rPr>
          <w:rFonts w:hint="default" w:ascii="仿宋" w:hAnsi="仿宋" w:eastAsia="仿宋" w:cs="仿宋"/>
          <w:color w:val="000000"/>
          <w:sz w:val="28"/>
          <w:szCs w:val="28"/>
          <w:lang w:val="en-US" w:eastAsia="zh-CN"/>
        </w:rPr>
      </w:pPr>
    </w:p>
    <w:p>
      <w:pPr>
        <w:pStyle w:val="6"/>
        <w:adjustRightInd w:val="0"/>
        <w:snapToGrid w:val="0"/>
        <w:spacing w:line="360" w:lineRule="auto"/>
        <w:jc w:val="left"/>
        <w:rPr>
          <w:rFonts w:hint="eastAsia" w:ascii="仿宋" w:hAnsi="仿宋" w:eastAsia="仿宋" w:cs="仿宋"/>
          <w:color w:val="000000"/>
          <w:sz w:val="28"/>
          <w:szCs w:val="28"/>
        </w:rPr>
      </w:pPr>
    </w:p>
    <w:p>
      <w:pPr>
        <w:numPr>
          <w:ilvl w:val="0"/>
          <w:numId w:val="2"/>
        </w:numPr>
        <w:spacing w:line="360" w:lineRule="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评分标准</w:t>
      </w:r>
    </w:p>
    <w:p>
      <w:pPr>
        <w:pStyle w:val="2"/>
        <w:rPr>
          <w:rFonts w:hint="eastAsia"/>
          <w:lang w:val="en-US" w:eastAsia="zh-CN"/>
        </w:rPr>
      </w:pPr>
    </w:p>
    <w:p>
      <w:pPr>
        <w:pStyle w:val="2"/>
        <w:numPr>
          <w:ilvl w:val="0"/>
          <w:numId w:val="0"/>
        </w:numPr>
        <w:ind w:firstLine="1446" w:firstLineChars="400"/>
        <w:rPr>
          <w:rFonts w:hint="default"/>
          <w:lang w:val="en-US" w:eastAsia="zh-CN"/>
        </w:rPr>
      </w:pPr>
      <w:r>
        <w:rPr>
          <w:rFonts w:hint="eastAsia" w:ascii="黑体" w:hAnsi="黑体" w:eastAsia="黑体" w:cs="黑体"/>
          <w:b/>
          <w:color w:val="auto"/>
          <w:sz w:val="36"/>
          <w:szCs w:val="36"/>
          <w:lang w:val="en-US" w:eastAsia="zh-CN"/>
        </w:rPr>
        <w:t>商务</w:t>
      </w:r>
      <w:r>
        <w:rPr>
          <w:rFonts w:hint="eastAsia" w:ascii="黑体" w:hAnsi="黑体" w:eastAsia="黑体" w:cs="黑体"/>
          <w:b/>
          <w:color w:val="auto"/>
          <w:sz w:val="36"/>
          <w:szCs w:val="36"/>
        </w:rPr>
        <w:t>技术部分评审计分表（</w:t>
      </w:r>
      <w:r>
        <w:rPr>
          <w:rFonts w:hint="eastAsia" w:ascii="黑体" w:hAnsi="黑体" w:eastAsia="黑体" w:cs="黑体"/>
          <w:b/>
          <w:color w:val="auto"/>
          <w:sz w:val="36"/>
          <w:szCs w:val="36"/>
          <w:lang w:val="en-US" w:eastAsia="zh-CN"/>
        </w:rPr>
        <w:t>70分</w:t>
      </w:r>
      <w:r>
        <w:rPr>
          <w:rFonts w:hint="eastAsia" w:ascii="黑体" w:hAnsi="黑体" w:eastAsia="黑体" w:cs="黑体"/>
          <w:b/>
          <w:color w:val="auto"/>
          <w:sz w:val="36"/>
          <w:szCs w:val="36"/>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86"/>
        <w:gridCol w:w="2144"/>
        <w:gridCol w:w="92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887" w:type="dxa"/>
            <w:gridSpan w:val="3"/>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评审因素</w:t>
            </w:r>
          </w:p>
        </w:tc>
        <w:tc>
          <w:tcPr>
            <w:tcW w:w="927"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分值</w:t>
            </w:r>
          </w:p>
        </w:tc>
        <w:tc>
          <w:tcPr>
            <w:tcW w:w="4579" w:type="dxa"/>
            <w:noWrap w:val="0"/>
            <w:vAlign w:val="center"/>
          </w:tcPr>
          <w:p>
            <w:pPr>
              <w:widowControl/>
              <w:jc w:val="center"/>
              <w:rPr>
                <w:rFonts w:hint="eastAsia" w:ascii="仿宋" w:hAnsi="仿宋" w:eastAsia="仿宋" w:cs="仿宋"/>
                <w:b/>
                <w:bCs/>
                <w:color w:val="auto"/>
                <w:kern w:val="0"/>
                <w:sz w:val="24"/>
                <w:szCs w:val="24"/>
                <w:lang w:val="en-US" w:eastAsia="zh-CN" w:bidi="en-US"/>
              </w:rPr>
            </w:pPr>
            <w:r>
              <w:rPr>
                <w:rFonts w:hint="eastAsia" w:ascii="仿宋" w:hAnsi="仿宋" w:eastAsia="仿宋" w:cs="仿宋"/>
                <w:b/>
                <w:bCs/>
                <w:color w:val="auto"/>
                <w:kern w:val="0"/>
                <w:sz w:val="24"/>
                <w:szCs w:val="24"/>
                <w:lang w:val="en-US" w:eastAsia="zh-CN" w:bidi="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商务技术（70分）</w:t>
            </w: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投标</w:t>
            </w:r>
            <w:r>
              <w:rPr>
                <w:rFonts w:hint="eastAsia" w:ascii="仿宋" w:hAnsi="仿宋" w:eastAsia="仿宋" w:cs="仿宋"/>
                <w:color w:val="auto"/>
                <w:kern w:val="0"/>
                <w:sz w:val="24"/>
                <w:szCs w:val="24"/>
                <w:lang w:eastAsia="en-US" w:bidi="en-US"/>
              </w:rPr>
              <w:t>文件的编制</w:t>
            </w:r>
          </w:p>
        </w:tc>
        <w:tc>
          <w:tcPr>
            <w:tcW w:w="927" w:type="dxa"/>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5</w:t>
            </w:r>
          </w:p>
        </w:tc>
        <w:tc>
          <w:tcPr>
            <w:tcW w:w="4579" w:type="dxa"/>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完全满足招标文件并响应的得</w:t>
            </w:r>
            <w:r>
              <w:rPr>
                <w:rFonts w:hint="eastAsia" w:ascii="仿宋" w:hAnsi="仿宋" w:eastAsia="仿宋" w:cs="仿宋"/>
                <w:color w:val="auto"/>
                <w:kern w:val="0"/>
                <w:sz w:val="24"/>
                <w:szCs w:val="24"/>
                <w:lang w:val="en-US" w:eastAsia="zh-CN" w:bidi="en-US"/>
              </w:rPr>
              <w:t>5</w:t>
            </w:r>
            <w:r>
              <w:rPr>
                <w:rFonts w:hint="eastAsia" w:ascii="仿宋" w:hAnsi="仿宋" w:eastAsia="仿宋" w:cs="仿宋"/>
                <w:color w:val="auto"/>
                <w:kern w:val="0"/>
                <w:sz w:val="24"/>
                <w:szCs w:val="24"/>
                <w:lang w:eastAsia="en-US" w:bidi="en-US"/>
              </w:rPr>
              <w:t>分。</w:t>
            </w:r>
          </w:p>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存在偏差</w:t>
            </w:r>
            <w:r>
              <w:rPr>
                <w:rFonts w:hint="eastAsia" w:ascii="仿宋" w:hAnsi="仿宋" w:eastAsia="仿宋" w:cs="仿宋"/>
                <w:color w:val="auto"/>
                <w:kern w:val="0"/>
                <w:sz w:val="24"/>
                <w:szCs w:val="24"/>
                <w:lang w:val="en-US" w:eastAsia="zh-CN" w:bidi="en-US"/>
              </w:rPr>
              <w:t>或不完整</w:t>
            </w:r>
            <w:r>
              <w:rPr>
                <w:rFonts w:hint="eastAsia" w:ascii="仿宋" w:hAnsi="仿宋" w:eastAsia="仿宋" w:cs="仿宋"/>
                <w:color w:val="auto"/>
                <w:kern w:val="0"/>
                <w:sz w:val="24"/>
                <w:szCs w:val="24"/>
                <w:lang w:eastAsia="en-US" w:bidi="en-US"/>
              </w:rPr>
              <w:t>的，每处扣</w:t>
            </w:r>
            <w:r>
              <w:rPr>
                <w:rFonts w:hint="eastAsia" w:ascii="仿宋" w:hAnsi="仿宋" w:eastAsia="仿宋" w:cs="仿宋"/>
                <w:color w:val="auto"/>
                <w:kern w:val="0"/>
                <w:sz w:val="24"/>
                <w:szCs w:val="24"/>
                <w:lang w:val="en-US" w:eastAsia="zh-CN" w:bidi="en-US"/>
              </w:rPr>
              <w:t>1</w:t>
            </w:r>
            <w:r>
              <w:rPr>
                <w:rFonts w:hint="eastAsia" w:ascii="仿宋" w:hAnsi="仿宋" w:eastAsia="仿宋" w:cs="仿宋"/>
                <w:color w:val="auto"/>
                <w:kern w:val="0"/>
                <w:sz w:val="24"/>
                <w:szCs w:val="24"/>
                <w:lang w:eastAsia="en-US" w:bidi="en-US"/>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eastAsia="en-US" w:bidi="en-US"/>
              </w:rPr>
              <w:t>企业业绩</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20</w:t>
            </w:r>
          </w:p>
        </w:tc>
        <w:tc>
          <w:tcPr>
            <w:tcW w:w="4579" w:type="dxa"/>
            <w:noWrap w:val="0"/>
            <w:vAlign w:val="center"/>
          </w:tcPr>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除基本业绩要求外，参选单位每额外提供一个近三年内吊点业绩的，每个计5分</w:t>
            </w:r>
            <w:r>
              <w:rPr>
                <w:rFonts w:hint="eastAsia" w:ascii="仿宋" w:hAnsi="仿宋" w:eastAsia="仿宋" w:cs="仿宋"/>
                <w:color w:val="auto"/>
                <w:kern w:val="0"/>
                <w:sz w:val="24"/>
                <w:szCs w:val="24"/>
                <w:lang w:val="en-US" w:eastAsia="en-US" w:bidi="en-US"/>
              </w:rPr>
              <w:t>，最多</w:t>
            </w:r>
            <w:r>
              <w:rPr>
                <w:rFonts w:hint="eastAsia" w:ascii="仿宋" w:hAnsi="仿宋" w:eastAsia="仿宋" w:cs="仿宋"/>
                <w:color w:val="auto"/>
                <w:kern w:val="0"/>
                <w:sz w:val="24"/>
                <w:szCs w:val="24"/>
                <w:lang w:val="en-US" w:eastAsia="zh-CN" w:bidi="en-US"/>
              </w:rPr>
              <w:t>20</w:t>
            </w:r>
            <w:r>
              <w:rPr>
                <w:rFonts w:hint="eastAsia" w:ascii="仿宋" w:hAnsi="仿宋" w:eastAsia="仿宋" w:cs="仿宋"/>
                <w:color w:val="auto"/>
                <w:kern w:val="0"/>
                <w:sz w:val="24"/>
                <w:szCs w:val="24"/>
                <w:lang w:val="en-US" w:eastAsia="en-US" w:bidi="en-US"/>
              </w:rPr>
              <w:t>分。</w:t>
            </w:r>
            <w:r>
              <w:rPr>
                <w:rFonts w:hint="eastAsia" w:ascii="仿宋" w:hAnsi="仿宋" w:eastAsia="仿宋" w:cs="仿宋"/>
                <w:color w:val="auto"/>
                <w:kern w:val="0"/>
                <w:sz w:val="24"/>
                <w:szCs w:val="24"/>
                <w:lang w:val="en-US" w:eastAsia="zh-CN" w:bidi="en-US"/>
              </w:rPr>
              <w:t>（提供合同复印件加盖公章，原件备查）</w:t>
            </w:r>
          </w:p>
          <w:p>
            <w:pPr>
              <w:widowControl/>
              <w:jc w:val="left"/>
              <w:rPr>
                <w:rFonts w:hint="eastAsia"/>
                <w:lang w:val="en-US" w:eastAsia="zh-CN"/>
              </w:rPr>
            </w:pPr>
            <w:r>
              <w:rPr>
                <w:rFonts w:hint="eastAsia" w:ascii="仿宋" w:hAnsi="仿宋" w:eastAsia="仿宋" w:cs="仿宋"/>
                <w:color w:val="auto"/>
                <w:kern w:val="0"/>
                <w:sz w:val="24"/>
                <w:szCs w:val="24"/>
                <w:lang w:val="en-US" w:eastAsia="zh-CN" w:bidi="en-US"/>
              </w:rPr>
              <w:t>吊点业绩指：近三年内会展中心/会议中心/文化艺术中心等年度吊点作业服务合同或展会/会议/活动/演出等项目的吊点业绩，要求单个项目吊点数不低于300个（提供合同复印件或甲方签字的派工单，原件备查）。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3030" w:type="dxa"/>
            <w:gridSpan w:val="2"/>
            <w:noWrap w:val="0"/>
            <w:vAlign w:val="center"/>
          </w:tcPr>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企业资质</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参选单位提供高空作业证5人的计5分，每增加一本加1分，最多计10分。</w:t>
            </w:r>
          </w:p>
          <w:p>
            <w:pPr>
              <w:widowControl/>
              <w:jc w:val="left"/>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参选单位提供安全员证（C类及以上）2人的计3分，3人及以上的计5分。</w:t>
            </w:r>
          </w:p>
          <w:p>
            <w:pPr>
              <w:widowControl/>
              <w:jc w:val="left"/>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提供证件、劳动合同复印件，原件备查。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restart"/>
            <w:noWrap w:val="0"/>
            <w:vAlign w:val="center"/>
          </w:tcPr>
          <w:p>
            <w:pPr>
              <w:widowControl/>
              <w:jc w:val="center"/>
              <w:rPr>
                <w:rFonts w:hint="eastAsia" w:ascii="仿宋" w:hAnsi="仿宋" w:eastAsia="仿宋" w:cs="仿宋"/>
                <w:color w:val="auto"/>
                <w:kern w:val="0"/>
                <w:sz w:val="24"/>
                <w:szCs w:val="24"/>
                <w:lang w:val="en-US" w:eastAsia="zh-CN" w:bidi="en-US"/>
              </w:rPr>
            </w:pP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吊点作业方案</w:t>
            </w:r>
          </w:p>
          <w:p>
            <w:pPr>
              <w:widowControl/>
              <w:jc w:val="center"/>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（40分）</w:t>
            </w: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施工管理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参选单位提供施工管理方案，内容须包括：作业流程、人员管理、作业设备设施检测等，评为优秀的计15分，良好的计10分，一般的计5分，较差的或未提供的计0分。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7"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886" w:type="dxa"/>
            <w:vMerge w:val="continue"/>
            <w:noWrap w:val="0"/>
            <w:vAlign w:val="center"/>
          </w:tcPr>
          <w:p>
            <w:pPr>
              <w:widowControl/>
              <w:jc w:val="center"/>
              <w:rPr>
                <w:rFonts w:hint="eastAsia" w:ascii="仿宋" w:hAnsi="仿宋" w:eastAsia="仿宋" w:cs="仿宋"/>
                <w:color w:val="auto"/>
                <w:kern w:val="0"/>
                <w:sz w:val="24"/>
                <w:szCs w:val="24"/>
                <w:lang w:val="en-US" w:eastAsia="zh-CN" w:bidi="en-US"/>
              </w:rPr>
            </w:pPr>
          </w:p>
        </w:tc>
        <w:tc>
          <w:tcPr>
            <w:tcW w:w="2144"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安全管理</w:t>
            </w:r>
          </w:p>
        </w:tc>
        <w:tc>
          <w:tcPr>
            <w:tcW w:w="927" w:type="dxa"/>
            <w:noWrap w:val="0"/>
            <w:vAlign w:val="center"/>
          </w:tcPr>
          <w:p>
            <w:pPr>
              <w:widowControl/>
              <w:jc w:val="center"/>
              <w:rPr>
                <w:rFonts w:hint="default"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15</w:t>
            </w:r>
          </w:p>
        </w:tc>
        <w:tc>
          <w:tcPr>
            <w:tcW w:w="4579" w:type="dxa"/>
            <w:noWrap w:val="0"/>
            <w:vAlign w:val="center"/>
          </w:tcPr>
          <w:p>
            <w:pPr>
              <w:widowControl/>
              <w:jc w:val="left"/>
              <w:rPr>
                <w:rFonts w:hint="eastAsia" w:ascii="仿宋" w:hAnsi="仿宋" w:eastAsia="仿宋" w:cs="仿宋"/>
                <w:color w:val="auto"/>
                <w:kern w:val="0"/>
                <w:sz w:val="24"/>
                <w:szCs w:val="24"/>
                <w:lang w:val="en-US" w:eastAsia="zh-CN" w:bidi="en-US"/>
              </w:rPr>
            </w:pPr>
            <w:r>
              <w:rPr>
                <w:rFonts w:hint="eastAsia" w:ascii="仿宋" w:hAnsi="仿宋" w:eastAsia="仿宋" w:cs="仿宋"/>
                <w:color w:val="auto"/>
                <w:kern w:val="0"/>
                <w:sz w:val="24"/>
                <w:szCs w:val="24"/>
                <w:lang w:val="en-US" w:eastAsia="zh-CN" w:bidi="en-US"/>
              </w:rPr>
              <w:t>参选单位提供安全管理方案，内容须包括：日常作业安全管理、突发事件安全管理、安全隐患管理、设备设施安全管理、安全培训、保险购买等（保险范围须包括：工作期间作业人员人身意外险及吊点作业过程中因故造成第三方财产损失或人身伤亡的责任险），评为优秀的计15分，良好的计10分，一般的计5分，较差的或未提供的计0分。</w:t>
            </w:r>
          </w:p>
        </w:tc>
      </w:tr>
    </w:tbl>
    <w:p>
      <w:pPr>
        <w:pStyle w:val="6"/>
        <w:adjustRightInd w:val="0"/>
        <w:snapToGrid w:val="0"/>
        <w:spacing w:line="360" w:lineRule="auto"/>
        <w:jc w:val="left"/>
        <w:rPr>
          <w:rFonts w:hint="eastAsia" w:ascii="仿宋" w:hAnsi="仿宋" w:eastAsia="仿宋" w:cs="仿宋"/>
          <w:color w:val="000000"/>
          <w:sz w:val="28"/>
          <w:szCs w:val="28"/>
        </w:rPr>
      </w:pPr>
      <w:r>
        <w:rPr>
          <w:rFonts w:hint="eastAsia" w:hAnsi="宋体"/>
          <w:color w:val="000000"/>
          <w:lang w:val="en-US" w:eastAsia="zh-CN"/>
        </w:rPr>
        <w:t xml:space="preserve">          </w:t>
      </w:r>
      <w:r>
        <w:rPr>
          <w:rFonts w:hint="eastAsia" w:ascii="仿宋" w:hAnsi="仿宋" w:eastAsia="仿宋" w:cs="仿宋"/>
          <w:color w:val="000000"/>
          <w:sz w:val="28"/>
          <w:szCs w:val="28"/>
        </w:rPr>
        <w:t xml:space="preserve">   </w:t>
      </w:r>
    </w:p>
    <w:p>
      <w:pPr>
        <w:jc w:val="center"/>
        <w:rPr>
          <w:rFonts w:hAnsi="宋体"/>
          <w:b/>
          <w:color w:val="auto"/>
          <w:sz w:val="36"/>
          <w:szCs w:val="36"/>
        </w:rPr>
      </w:pPr>
      <w:r>
        <w:rPr>
          <w:rFonts w:hint="eastAsia" w:ascii="仿宋" w:hAnsi="仿宋" w:eastAsia="仿宋" w:cs="仿宋"/>
          <w:color w:val="000000"/>
          <w:sz w:val="24"/>
          <w:szCs w:val="24"/>
        </w:rPr>
        <w:t xml:space="preserve">  </w:t>
      </w:r>
      <w:r>
        <w:rPr>
          <w:rFonts w:hint="eastAsia" w:hAnsi="宋体"/>
          <w:b/>
          <w:color w:val="auto"/>
          <w:sz w:val="36"/>
          <w:szCs w:val="36"/>
        </w:rPr>
        <w:t>投标报价评审计分表（</w:t>
      </w:r>
      <w:r>
        <w:rPr>
          <w:rFonts w:hint="eastAsia" w:hAnsi="宋体"/>
          <w:b/>
          <w:color w:val="auto"/>
          <w:sz w:val="36"/>
          <w:szCs w:val="36"/>
          <w:lang w:val="en-US" w:eastAsia="zh-CN"/>
        </w:rPr>
        <w:t>30分</w:t>
      </w:r>
      <w:r>
        <w:rPr>
          <w:rFonts w:hint="eastAsia" w:hAnsi="宋体"/>
          <w:b/>
          <w:color w:val="auto"/>
          <w:sz w:val="36"/>
          <w:szCs w:val="36"/>
        </w:rPr>
        <w:t>）</w:t>
      </w:r>
    </w:p>
    <w:tbl>
      <w:tblPr>
        <w:tblStyle w:val="11"/>
        <w:tblW w:w="98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5"/>
        <w:gridCol w:w="2743"/>
        <w:gridCol w:w="2410"/>
        <w:gridCol w:w="3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45"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序号</w:t>
            </w:r>
          </w:p>
        </w:tc>
        <w:tc>
          <w:tcPr>
            <w:tcW w:w="2743"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项       目</w:t>
            </w:r>
          </w:p>
        </w:tc>
        <w:tc>
          <w:tcPr>
            <w:tcW w:w="2410"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评分标准</w:t>
            </w:r>
          </w:p>
        </w:tc>
        <w:tc>
          <w:tcPr>
            <w:tcW w:w="3485" w:type="dxa"/>
            <w:tcBorders>
              <w:top w:val="single" w:color="auto" w:sz="12" w:space="0"/>
              <w:left w:val="single" w:color="auto" w:sz="4" w:space="0"/>
              <w:bottom w:val="single" w:color="auto" w:sz="4" w:space="0"/>
              <w:right w:val="single" w:color="auto" w:sz="12"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1</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每升1%减0.5分，即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-(0.5*100X)</w:t>
            </w:r>
          </w:p>
        </w:tc>
        <w:tc>
          <w:tcPr>
            <w:tcW w:w="3485" w:type="dxa"/>
            <w:vMerge w:val="restart"/>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X为投标价升、降率百分数的绝对值，即</w:t>
            </w:r>
          </w:p>
          <w:p>
            <w:pPr>
              <w:widowControl/>
              <w:ind w:firstLine="360" w:firstLineChars="15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0288" behindDoc="0" locked="0" layoutInCell="1" allowOverlap="1">
                      <wp:simplePos x="0" y="0"/>
                      <wp:positionH relativeFrom="column">
                        <wp:posOffset>1329055</wp:posOffset>
                      </wp:positionH>
                      <wp:positionV relativeFrom="paragraph">
                        <wp:posOffset>1905</wp:posOffset>
                      </wp:positionV>
                      <wp:extent cx="635" cy="495300"/>
                      <wp:effectExtent l="4445" t="0" r="13970" b="0"/>
                      <wp:wrapNone/>
                      <wp:docPr id="5" name="直接连接符 5"/>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104.65pt;margin-top:0.15pt;height:39pt;width:0.05pt;z-index:251660288;mso-width-relative:page;mso-height-relative:page;" filled="f" stroked="t" coordsize="21600,21600" o:gfxdata="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AMAuHSAAAABwEAAA8AAAAAAAAAAQAgAAAAIgAAAGRycy9k&#10;b3ducmV2LnhtbFBLAQIUABQAAAAIAIdO4kCC2RN+CAIAAAcEAAAOAAAAAAAAAAEAIAAAACEBAABk&#10;cnMvZTJvRG9jLnhtbFBLBQYAAAAABgAGAFkBAACb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0</wp:posOffset>
                      </wp:positionV>
                      <wp:extent cx="3175" cy="510540"/>
                      <wp:effectExtent l="4445" t="0" r="11430" b="3810"/>
                      <wp:wrapNone/>
                      <wp:docPr id="6" name="直接连接符 6"/>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0pt;height:40.2pt;width:0.25pt;z-index:251661312;mso-width-relative:page;mso-height-relative:page;" filled="f" stroked="t" coordsize="21600,21600" o:gfxdata="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PwkJbSAAAAAwEAAA8AAAAAAAAAAQAgAAAAIgAAAGRycy9kb3ducmV2LnhtbFBL&#10;AQIUABQAAAAIAIdO4kDnlJMd/AEAAPQDAAAOAAAAAAAAAAEAIAAAACE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投标价—基准价</w:t>
            </w:r>
          </w:p>
          <w:p>
            <w:pPr>
              <w:widowControl/>
              <w:ind w:left="2100" w:hanging="2400" w:hangingChars="1000"/>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eastAsia="en-US" w:bidi="en-US"/>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60325</wp:posOffset>
                      </wp:positionV>
                      <wp:extent cx="1036320" cy="13335"/>
                      <wp:effectExtent l="0" t="4445" r="11430" b="10795"/>
                      <wp:wrapNone/>
                      <wp:docPr id="7" name="直接连接符 7"/>
                      <wp:cNvGraphicFramePr/>
                      <a:graphic xmlns:a="http://schemas.openxmlformats.org/drawingml/2006/main">
                        <a:graphicData uri="http://schemas.microsoft.com/office/word/2010/wordprocessingShape">
                          <wps:wsp>
                            <wps:cNvCnPr/>
                            <wps:spPr>
                              <a:xfrm flipV="1">
                                <a:off x="0" y="0"/>
                                <a:ext cx="1036320" cy="133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6pt;margin-top:4.75pt;height:1.05pt;width:81.6pt;z-index:251659264;mso-width-relative:page;mso-height-relative:page;" filled="f" stroked="t" coordsize="21600,21600" o:gfxdata="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p3cqNYAAAAHAQAADwAAAAAAAAABACAAAAAiAAAAZHJzL2Rv&#10;d25yZXYueG1sUEsBAhQAFAAAAAgAh07iQAqeyEgDAgAAAAQAAA4AAAAAAAAAAQAgAAAAJQEAAGRy&#10;cy9lMm9Eb2MueG1sUEsFBgAAAAAGAAYAWQEAAJoFAAAAAA==&#10;">
                      <v:fill on="f" focussize="0,0"/>
                      <v:stroke color="#000000" joinstyle="round"/>
                      <v:imagedata o:title=""/>
                      <o:lock v:ext="edit" aspectratio="f"/>
                    </v:line>
                  </w:pict>
                </mc:Fallback>
              </mc:AlternateContent>
            </w:r>
            <w:r>
              <w:rPr>
                <w:rFonts w:hint="eastAsia" w:ascii="仿宋" w:hAnsi="仿宋" w:eastAsia="仿宋" w:cs="仿宋"/>
                <w:color w:val="auto"/>
                <w:kern w:val="0"/>
                <w:sz w:val="24"/>
                <w:szCs w:val="24"/>
                <w:lang w:bidi="en-US"/>
              </w:rPr>
              <w:t xml:space="preserve">                     ×100%</w:t>
            </w:r>
          </w:p>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2</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eastAsia="en-US" w:bidi="en-US"/>
              </w:rPr>
              <w:t>分</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1245"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3</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eastAsia="en-US" w:bidi="en-US"/>
              </w:rPr>
            </w:pPr>
            <w:r>
              <w:rPr>
                <w:rFonts w:hint="eastAsia" w:ascii="仿宋" w:hAnsi="仿宋" w:eastAsia="仿宋" w:cs="仿宋"/>
                <w:color w:val="auto"/>
                <w:kern w:val="0"/>
                <w:sz w:val="24"/>
                <w:szCs w:val="24"/>
                <w:lang w:eastAsia="en-US" w:bidi="en-US"/>
              </w:rPr>
              <w:t>投标价＜基准价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bidi="en-US"/>
              </w:rPr>
            </w:pPr>
            <w:r>
              <w:rPr>
                <w:rFonts w:hint="eastAsia" w:ascii="仿宋" w:hAnsi="仿宋" w:eastAsia="仿宋" w:cs="仿宋"/>
                <w:color w:val="auto"/>
                <w:kern w:val="0"/>
                <w:sz w:val="24"/>
                <w:szCs w:val="24"/>
                <w:lang w:bidi="en-US"/>
              </w:rPr>
              <w:t>每降1%减0.25分，即</w:t>
            </w:r>
            <w:r>
              <w:rPr>
                <w:rFonts w:hint="eastAsia" w:ascii="仿宋" w:hAnsi="仿宋" w:eastAsia="仿宋" w:cs="仿宋"/>
                <w:color w:val="auto"/>
                <w:kern w:val="0"/>
                <w:sz w:val="24"/>
                <w:szCs w:val="24"/>
                <w:lang w:val="en-US" w:eastAsia="zh-CN" w:bidi="en-US"/>
              </w:rPr>
              <w:t>30</w:t>
            </w:r>
            <w:r>
              <w:rPr>
                <w:rFonts w:hint="eastAsia" w:ascii="仿宋" w:hAnsi="仿宋" w:eastAsia="仿宋" w:cs="仿宋"/>
                <w:color w:val="auto"/>
                <w:kern w:val="0"/>
                <w:sz w:val="24"/>
                <w:szCs w:val="24"/>
                <w:lang w:bidi="en-US"/>
              </w:rPr>
              <w:t>-(0.25*100X)</w:t>
            </w:r>
          </w:p>
        </w:tc>
        <w:tc>
          <w:tcPr>
            <w:tcW w:w="3485"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仿宋" w:hAnsi="仿宋" w:eastAsia="仿宋" w:cs="仿宋"/>
                <w:color w:val="auto"/>
                <w:kern w:val="0"/>
                <w:sz w:val="24"/>
                <w:szCs w:val="24"/>
                <w:lang w:bidi="en-US"/>
              </w:rPr>
            </w:pPr>
          </w:p>
        </w:tc>
      </w:tr>
    </w:tbl>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备注：</w:t>
      </w:r>
    </w:p>
    <w:p>
      <w:pPr>
        <w:spacing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1.投标报价：12米吊点不高于180元/点（含税）；18米吊点不高于235元/点（含税）。以含税价（含6%增值税）作为投标报价的记分依据。</w:t>
      </w: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2．投标报价等于基准价得30分。</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．除经初步评审为不合格应选人（包括投标报价文件无效）的和被认定为最终投标报价低于其企业成本的外，其他的最终投标报价均应按规定进入最终投标价的算术平均。</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en-US"/>
        </w:rPr>
        <w:t xml:space="preserve">．基准价公式： </w:t>
      </w:r>
    </w:p>
    <w:p>
      <w:pPr>
        <w:numPr>
          <w:ilvl w:val="0"/>
          <w:numId w:val="0"/>
        </w:numPr>
        <w:spacing w:line="300" w:lineRule="auto"/>
        <w:ind w:left="420" w:leftChars="0" w:firstLine="2310" w:firstLineChars="1100"/>
        <w:jc w:val="left"/>
        <w:rPr>
          <w:rFonts w:hint="eastAsia" w:asciiTheme="minorEastAsia" w:hAnsiTheme="minorEastAsia" w:eastAsiaTheme="minorEastAsia" w:cstheme="minorEastAsia"/>
          <w:color w:val="auto"/>
          <w:szCs w:val="21"/>
          <w:lang w:eastAsia="en-US"/>
        </w:rPr>
      </w:pPr>
      <w:r>
        <w:rPr>
          <w:rFonts w:hint="eastAsia" w:asciiTheme="minorEastAsia" w:hAnsiTheme="minorEastAsia" w:eastAsiaTheme="minorEastAsia" w:cstheme="minorEastAsia"/>
          <w:color w:val="auto"/>
          <w:szCs w:val="21"/>
          <w:lang w:eastAsia="en-US"/>
        </w:rPr>
        <w:t>A1+A2+……＋Ai+……＋An</w:t>
      </w:r>
    </w:p>
    <w:p>
      <w:pPr>
        <w:numPr>
          <w:ilvl w:val="0"/>
          <w:numId w:val="0"/>
        </w:numPr>
        <w:spacing w:line="300" w:lineRule="auto"/>
        <w:ind w:left="420" w:leftChars="0" w:firstLine="280" w:firstLineChars="100"/>
        <w:jc w:val="left"/>
        <w:rPr>
          <w:rFonts w:hint="eastAsia" w:asciiTheme="minorEastAsia" w:hAnsiTheme="minorEastAsia" w:eastAsiaTheme="minorEastAsia" w:cstheme="minorEastAsia"/>
          <w:color w:val="auto"/>
          <w:szCs w:val="21"/>
        </w:rPr>
      </w:pPr>
      <w:r>
        <w:rPr>
          <w:rFonts w:hint="eastAsia" w:ascii="仿宋" w:hAnsi="仿宋" w:eastAsia="仿宋" w:cs="仿宋"/>
          <w:color w:val="000000"/>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33655</wp:posOffset>
                </wp:positionV>
                <wp:extent cx="24003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8pt;margin-top:2.65pt;height:0pt;width:189pt;z-index:251662336;mso-width-relative:page;mso-height-relative:page;" filled="f" stroked="t" coordsize="21600,21600" o:gfxdata="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qyQbVAAAABwEAAA8AAAAAAAAAAQAgAAAAIgAAAGRycy9kb3ducmV2LnhtbFBL&#10;AQIUABQAAAAIAIdO4kCPdv1j+QEAAPIDAAAOAAAAAAAAAAEAIAAAACQ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000000"/>
          <w:sz w:val="28"/>
          <w:szCs w:val="28"/>
          <w:lang w:eastAsia="en-US"/>
        </w:rPr>
        <w:t>基准价</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 xml:space="preserve">N                 </w:t>
      </w:r>
    </w:p>
    <w:p>
      <w:pPr>
        <w:numPr>
          <w:ilvl w:val="0"/>
          <w:numId w:val="0"/>
        </w:numPr>
        <w:spacing w:line="300" w:lineRule="auto"/>
        <w:ind w:left="420" w:leftChars="0"/>
        <w:jc w:val="left"/>
        <w:rPr>
          <w:rFonts w:hint="eastAsia" w:asciiTheme="minorEastAsia" w:hAnsiTheme="minorEastAsia" w:eastAsiaTheme="minorEastAsia" w:cstheme="minorEastAsia"/>
          <w:color w:val="auto"/>
          <w:szCs w:val="21"/>
        </w:rPr>
      </w:pP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最终投标价以人民币万元为单位，计算保留至小数点后2位（百分比</w:t>
      </w:r>
      <w:r>
        <w:rPr>
          <w:rFonts w:hint="eastAsia" w:ascii="仿宋" w:hAnsi="仿宋" w:eastAsia="仿宋" w:cs="仿宋"/>
          <w:color w:val="000000"/>
          <w:sz w:val="28"/>
          <w:szCs w:val="28"/>
          <w:lang w:val="en-US" w:eastAsia="zh-CN"/>
        </w:rPr>
        <w:t>同样保留小数点后2位</w:t>
      </w:r>
      <w:r>
        <w:rPr>
          <w:rFonts w:hint="eastAsia" w:ascii="仿宋" w:hAnsi="仿宋" w:eastAsia="仿宋" w:cs="仿宋"/>
          <w:color w:val="000000"/>
          <w:sz w:val="28"/>
          <w:szCs w:val="28"/>
        </w:rPr>
        <w:t>），小数点后第3位采取4舍5入。</w:t>
      </w:r>
    </w:p>
    <w:p>
      <w:pPr>
        <w:pStyle w:val="6"/>
        <w:adjustRightInd w:val="0"/>
        <w:snapToGrid w:val="0"/>
        <w:spacing w:line="360" w:lineRule="auto"/>
        <w:jc w:val="left"/>
        <w:rPr>
          <w:rFonts w:hint="eastAsia" w:ascii="仿宋" w:hAnsi="仿宋" w:eastAsia="仿宋" w:cs="仿宋"/>
          <w:color w:val="000000"/>
          <w:sz w:val="24"/>
          <w:szCs w:val="24"/>
        </w:rPr>
      </w:pPr>
    </w:p>
    <w:p>
      <w:pPr>
        <w:numPr>
          <w:ilvl w:val="0"/>
          <w:numId w:val="3"/>
        </w:numPr>
        <w:spacing w:line="360" w:lineRule="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技术要求</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详见附件《用户需求书》</w:t>
      </w:r>
    </w:p>
    <w:p>
      <w:pPr>
        <w:pStyle w:val="2"/>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ind w:firstLine="560" w:firstLineChars="200"/>
        <w:rPr>
          <w:rFonts w:hint="eastAsia" w:ascii="仿宋" w:hAnsi="仿宋" w:eastAsia="仿宋" w:cs="仿宋"/>
          <w:color w:val="000000"/>
          <w:sz w:val="28"/>
          <w:szCs w:val="28"/>
          <w:lang w:val="en-US" w:eastAsia="zh-CN"/>
        </w:rPr>
      </w:pPr>
      <w:bookmarkStart w:id="8" w:name="_Toc462310586"/>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ind w:firstLine="560" w:firstLineChars="200"/>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3"/>
        <w:rPr>
          <w:rFonts w:hint="eastAsia" w:ascii="仿宋" w:hAnsi="仿宋" w:eastAsia="仿宋" w:cs="仿宋"/>
          <w:color w:val="000000"/>
          <w:sz w:val="28"/>
          <w:szCs w:val="28"/>
          <w:lang w:val="en-US" w:eastAsia="zh-CN"/>
        </w:rPr>
      </w:pPr>
    </w:p>
    <w:p>
      <w:pPr>
        <w:spacing w:line="360" w:lineRule="auto"/>
        <w:rPr>
          <w:rFonts w:hint="eastAsia" w:ascii="仿宋" w:hAnsi="仿宋" w:eastAsia="仿宋" w:cs="仿宋"/>
          <w:color w:val="000000"/>
          <w:sz w:val="28"/>
          <w:szCs w:val="28"/>
          <w:lang w:val="en-US" w:eastAsia="zh-CN"/>
        </w:rPr>
      </w:pPr>
    </w:p>
    <w:p>
      <w:pPr>
        <w:pStyle w:val="4"/>
        <w:spacing w:before="156" w:beforeLines="5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投标文件的组成</w:t>
      </w:r>
      <w:bookmarkEnd w:id="8"/>
    </w:p>
    <w:p>
      <w:pPr>
        <w:rPr>
          <w:rFonts w:hint="eastAsia" w:ascii="仿宋" w:hAnsi="仿宋" w:eastAsia="仿宋" w:cs="仿宋"/>
          <w:sz w:val="28"/>
          <w:szCs w:val="28"/>
        </w:rPr>
      </w:pPr>
    </w:p>
    <w:p>
      <w:pPr>
        <w:numPr>
          <w:ilvl w:val="0"/>
          <w:numId w:val="4"/>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报价表</w:t>
      </w:r>
    </w:p>
    <w:p>
      <w:pPr>
        <w:numPr>
          <w:ilvl w:val="0"/>
          <w:numId w:val="0"/>
        </w:num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二、参选单位业绩汇总表</w:t>
      </w:r>
    </w:p>
    <w:p>
      <w:pPr>
        <w:adjustRightInd w:val="0"/>
        <w:snapToGrid w:val="0"/>
        <w:spacing w:before="156" w:beforeLines="5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三、参选单位具备比选资格的证明文件</w:t>
      </w:r>
    </w:p>
    <w:p>
      <w:pPr>
        <w:rPr>
          <w:rFonts w:hint="eastAsia" w:ascii="宋体" w:hAnsi="宋体"/>
          <w:color w:val="000000"/>
        </w:rPr>
      </w:pPr>
    </w:p>
    <w:p>
      <w:pPr>
        <w:adjustRightInd w:val="0"/>
        <w:snapToGrid w:val="0"/>
        <w:spacing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展会吊点作业</w:t>
      </w:r>
      <w:r>
        <w:rPr>
          <w:rFonts w:hint="eastAsia" w:ascii="仿宋" w:hAnsi="仿宋" w:eastAsia="仿宋" w:cs="仿宋"/>
          <w:color w:val="000000"/>
          <w:sz w:val="28"/>
          <w:szCs w:val="28"/>
        </w:rPr>
        <w:t>方案</w:t>
      </w:r>
    </w:p>
    <w:p>
      <w:pPr>
        <w:adjustRightInd w:val="0"/>
        <w:snapToGrid w:val="0"/>
        <w:outlineLvl w:val="0"/>
        <w:rPr>
          <w:rFonts w:hint="eastAsia" w:ascii="宋体" w:hAnsi="宋体" w:eastAsia="宋体"/>
          <w:color w:val="000000"/>
          <w:sz w:val="32"/>
          <w:szCs w:val="32"/>
          <w:u w:val="single"/>
          <w:lang w:val="en-US" w:eastAsia="zh-CN"/>
        </w:rPr>
        <w:sectPr>
          <w:footerReference r:id="rId4" w:type="default"/>
          <w:pgSz w:w="11906" w:h="16838"/>
          <w:pgMar w:top="1270" w:right="1140" w:bottom="1270" w:left="1140" w:header="851" w:footer="992" w:gutter="0"/>
          <w:pgNumType w:start="1"/>
          <w:cols w:space="720" w:num="1"/>
          <w:docGrid w:type="lines" w:linePitch="312" w:charSpace="0"/>
        </w:sectPr>
      </w:pPr>
    </w:p>
    <w:p>
      <w:pPr>
        <w:pStyle w:val="4"/>
        <w:spacing w:before="156" w:beforeLines="50" w:line="360" w:lineRule="auto"/>
        <w:rPr>
          <w:rFonts w:hint="eastAsia" w:ascii="仿宋" w:hAnsi="仿宋" w:eastAsia="仿宋" w:cs="仿宋"/>
          <w:color w:val="000000"/>
          <w:sz w:val="32"/>
          <w:szCs w:val="32"/>
        </w:rPr>
      </w:pPr>
      <w:bookmarkStart w:id="9" w:name="_Toc462310588"/>
    </w:p>
    <w:p>
      <w:pPr>
        <w:pStyle w:val="4"/>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报 价 表</w:t>
      </w:r>
      <w:bookmarkEnd w:id="9"/>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5007"/>
        <w:gridCol w:w="2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48"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rPr>
              <w:tab/>
            </w:r>
            <w:r>
              <w:rPr>
                <w:rFonts w:hint="eastAsia" w:ascii="宋体" w:hAnsi="宋体" w:cs="宋体"/>
                <w:color w:val="000000"/>
                <w:szCs w:val="21"/>
              </w:rPr>
              <w:t>项目名称</w:t>
            </w:r>
          </w:p>
        </w:tc>
        <w:tc>
          <w:tcPr>
            <w:tcW w:w="7312" w:type="dxa"/>
            <w:gridSpan w:val="2"/>
            <w:tcBorders>
              <w:top w:val="double" w:color="auto" w:sz="4" w:space="0"/>
              <w:left w:val="single" w:color="auto" w:sz="6" w:space="0"/>
              <w:bottom w:val="single" w:color="auto" w:sz="6"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长沙国际会展中心</w:t>
            </w:r>
            <w:r>
              <w:rPr>
                <w:rFonts w:hint="eastAsia" w:ascii="宋体" w:hAnsi="宋体" w:cs="宋体"/>
                <w:color w:val="000000"/>
                <w:szCs w:val="21"/>
                <w:lang w:val="en-US" w:eastAsia="zh-CN"/>
              </w:rPr>
              <w:t>展会吊点作业</w:t>
            </w:r>
            <w:r>
              <w:rPr>
                <w:rFonts w:hint="eastAsia" w:ascii="宋体" w:hAnsi="宋体" w:cs="宋体"/>
                <w:color w:val="000000"/>
                <w:szCs w:val="21"/>
              </w:rPr>
              <w:t>比选项目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项目报价（不含税）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eastAsia"/>
                <w:lang w:val="en-US" w:eastAsia="zh-CN"/>
              </w:rPr>
            </w:pPr>
            <w:r>
              <w:rPr>
                <w:rFonts w:hint="eastAsia"/>
                <w:lang w:val="en-US" w:eastAsia="zh-CN"/>
              </w:rPr>
              <w:t>12米吊点单价  大写： 元/点位 小写：  元/点位</w:t>
            </w:r>
          </w:p>
          <w:p>
            <w:pPr>
              <w:pStyle w:val="2"/>
              <w:rPr>
                <w:rFonts w:hint="default"/>
                <w:lang w:val="en-US" w:eastAsia="zh-CN"/>
              </w:rPr>
            </w:pPr>
            <w:r>
              <w:rPr>
                <w:rFonts w:hint="default" w:ascii="Calibri" w:hAnsi="Calibri" w:eastAsia="宋体" w:cs="Times New Roman"/>
                <w:bCs w:val="0"/>
                <w:kern w:val="2"/>
                <w:sz w:val="21"/>
                <w:szCs w:val="24"/>
                <w:lang w:val="en-US" w:eastAsia="zh-CN" w:bidi="ar-SA"/>
              </w:rPr>
              <w:t>1</w:t>
            </w:r>
            <w:r>
              <w:rPr>
                <w:rFonts w:hint="eastAsia" w:ascii="Calibri" w:hAnsi="Calibri" w:eastAsia="宋体" w:cs="Times New Roman"/>
                <w:bCs w:val="0"/>
                <w:kern w:val="2"/>
                <w:sz w:val="21"/>
                <w:szCs w:val="24"/>
                <w:lang w:val="en-US" w:eastAsia="zh-CN" w:bidi="ar-SA"/>
              </w:rPr>
              <w:t>8</w:t>
            </w:r>
            <w:r>
              <w:rPr>
                <w:rFonts w:hint="default" w:ascii="Calibri" w:hAnsi="Calibri" w:eastAsia="宋体" w:cs="Times New Roman"/>
                <w:bCs w:val="0"/>
                <w:kern w:val="2"/>
                <w:sz w:val="21"/>
                <w:szCs w:val="24"/>
                <w:lang w:val="en-US" w:eastAsia="zh-CN" w:bidi="ar-SA"/>
              </w:rPr>
              <w:t>米吊点</w:t>
            </w:r>
            <w:r>
              <w:rPr>
                <w:rFonts w:hint="eastAsia" w:ascii="Calibri" w:hAnsi="Calibri" w:eastAsia="宋体" w:cs="Times New Roman"/>
                <w:bCs w:val="0"/>
                <w:kern w:val="2"/>
                <w:sz w:val="21"/>
                <w:szCs w:val="24"/>
                <w:lang w:val="en-US" w:eastAsia="zh-CN" w:bidi="ar-SA"/>
              </w:rPr>
              <w:t>单价  大写： 元/点位 小写：  元/点位</w:t>
            </w:r>
          </w:p>
        </w:tc>
        <w:tc>
          <w:tcPr>
            <w:tcW w:w="2305" w:type="dxa"/>
            <w:vMerge w:val="restart"/>
            <w:tcBorders>
              <w:top w:val="single" w:color="auto" w:sz="6" w:space="0"/>
              <w:left w:val="single" w:color="auto" w:sz="4" w:space="0"/>
              <w:right w:val="doub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税率：</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48"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项目报价（含税）</w:t>
            </w:r>
          </w:p>
        </w:tc>
        <w:tc>
          <w:tcPr>
            <w:tcW w:w="5007" w:type="dxa"/>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000000"/>
                <w:szCs w:val="21"/>
                <w:u w:val="none"/>
                <w:lang w:val="en-US" w:eastAsia="zh-CN"/>
              </w:rPr>
            </w:pPr>
            <w:r>
              <w:rPr>
                <w:rFonts w:hint="eastAsia" w:ascii="宋体" w:hAnsi="宋体" w:eastAsia="宋体" w:cs="宋体"/>
                <w:color w:val="000000"/>
                <w:szCs w:val="21"/>
                <w:u w:val="none"/>
                <w:lang w:val="en-US" w:eastAsia="zh-CN"/>
              </w:rPr>
              <w:t>12米吊点单价  大写： 元/点位 小写：  元/点位</w:t>
            </w:r>
          </w:p>
          <w:p>
            <w:pPr>
              <w:rPr>
                <w:rFonts w:hint="eastAsia" w:ascii="宋体" w:hAnsi="宋体" w:eastAsia="宋体" w:cs="宋体"/>
                <w:color w:val="000000"/>
                <w:szCs w:val="21"/>
                <w:u w:val="none"/>
                <w:lang w:val="en-US" w:eastAsia="zh-CN"/>
              </w:rPr>
            </w:pPr>
            <w:r>
              <w:rPr>
                <w:rFonts w:hint="eastAsia" w:ascii="宋体" w:hAnsi="宋体" w:eastAsia="宋体" w:cs="宋体"/>
                <w:color w:val="000000"/>
                <w:szCs w:val="21"/>
                <w:u w:val="none"/>
                <w:lang w:val="en-US" w:eastAsia="zh-CN"/>
              </w:rPr>
              <w:t>18米吊点单价  大写： 元/点位 小写：  元/点位</w:t>
            </w:r>
          </w:p>
        </w:tc>
        <w:tc>
          <w:tcPr>
            <w:tcW w:w="2305" w:type="dxa"/>
            <w:vMerge w:val="continue"/>
            <w:tcBorders>
              <w:left w:val="single" w:color="auto" w:sz="4" w:space="0"/>
              <w:right w:val="double" w:color="auto" w:sz="4" w:space="0"/>
            </w:tcBorders>
            <w:noWrap w:val="0"/>
            <w:vAlign w:val="center"/>
          </w:tcPr>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748" w:type="dxa"/>
            <w:tcBorders>
              <w:top w:val="single" w:color="auto" w:sz="6" w:space="0"/>
              <w:left w:val="double" w:color="auto" w:sz="4" w:space="0"/>
              <w:bottom w:val="double" w:color="auto" w:sz="4" w:space="0"/>
              <w:right w:val="single" w:color="auto" w:sz="6" w:space="0"/>
            </w:tcBorders>
            <w:noWrap w:val="0"/>
            <w:vAlign w:val="center"/>
          </w:tcPr>
          <w:p>
            <w:pPr>
              <w:numPr>
                <w:ilvl w:val="0"/>
                <w:numId w:val="5"/>
              </w:numPr>
              <w:spacing w:line="420" w:lineRule="exact"/>
              <w:rPr>
                <w:rFonts w:hint="eastAsia"/>
                <w:lang w:val="en-US" w:eastAsia="zh-CN"/>
              </w:rPr>
            </w:pPr>
            <w:r>
              <w:rPr>
                <w:rFonts w:hint="eastAsia"/>
                <w:lang w:val="en-US" w:eastAsia="zh-CN"/>
              </w:rPr>
              <w:t>备  注</w:t>
            </w:r>
          </w:p>
        </w:tc>
        <w:tc>
          <w:tcPr>
            <w:tcW w:w="7312" w:type="dxa"/>
            <w:gridSpan w:val="2"/>
            <w:tcBorders>
              <w:top w:val="single" w:color="auto" w:sz="6" w:space="0"/>
              <w:left w:val="single" w:color="auto" w:sz="6" w:space="0"/>
              <w:bottom w:val="double" w:color="auto" w:sz="4" w:space="0"/>
              <w:right w:val="double" w:color="auto" w:sz="4" w:space="0"/>
            </w:tcBorders>
            <w:noWrap w:val="0"/>
            <w:vAlign w:val="center"/>
          </w:tcPr>
          <w:p>
            <w:pPr>
              <w:numPr>
                <w:ilvl w:val="0"/>
                <w:numId w:val="0"/>
              </w:numPr>
              <w:spacing w:line="420" w:lineRule="exact"/>
              <w:rPr>
                <w:rFonts w:hint="eastAsia"/>
                <w:lang w:val="en-US" w:eastAsia="zh-CN"/>
              </w:rPr>
            </w:pPr>
            <w:r>
              <w:rPr>
                <w:rFonts w:hint="eastAsia"/>
                <w:lang w:val="en-US" w:eastAsia="zh-CN"/>
              </w:rPr>
              <w:t>1.甲方需提供增值税专用发票。</w:t>
            </w:r>
          </w:p>
          <w:p>
            <w:pPr>
              <w:numPr>
                <w:ilvl w:val="0"/>
                <w:numId w:val="0"/>
              </w:numPr>
              <w:spacing w:line="420" w:lineRule="exact"/>
              <w:rPr>
                <w:rFonts w:hint="eastAsia"/>
                <w:lang w:val="en-US" w:eastAsia="zh-CN"/>
              </w:rPr>
            </w:pPr>
            <w:r>
              <w:rPr>
                <w:rFonts w:hint="eastAsia"/>
                <w:lang w:val="en-US" w:eastAsia="zh-CN"/>
              </w:rPr>
              <w:t>2.服务期3年</w:t>
            </w:r>
          </w:p>
        </w:tc>
      </w:tr>
    </w:tbl>
    <w:p>
      <w:pPr>
        <w:adjustRightInd w:val="0"/>
        <w:snapToGrid w:val="0"/>
        <w:spacing w:before="156" w:beforeLines="50" w:line="360" w:lineRule="auto"/>
        <w:jc w:val="left"/>
        <w:rPr>
          <w:rFonts w:hint="eastAsia" w:ascii="宋体" w:hAnsi="宋体"/>
          <w:b/>
          <w:color w:val="000000"/>
          <w:szCs w:val="21"/>
        </w:rPr>
      </w:pPr>
    </w:p>
    <w:p>
      <w:pPr>
        <w:adjustRightInd w:val="0"/>
        <w:snapToGrid w:val="0"/>
        <w:spacing w:line="360" w:lineRule="auto"/>
        <w:rPr>
          <w:rFonts w:hint="eastAsia" w:ascii="宋体" w:hAnsi="宋体"/>
          <w:b/>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rPr>
          <w:rFonts w:hint="eastAsia" w:ascii="宋体" w:hAnsi="宋体" w:eastAsia="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r>
        <w:rPr>
          <w:rFonts w:hint="eastAsia" w:ascii="宋体" w:hAnsi="宋体" w:cs="宋体"/>
          <w:color w:val="000000"/>
          <w:szCs w:val="21"/>
          <w:lang w:eastAsia="zh-CN"/>
        </w:rPr>
        <w:t>。</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 xml:space="preserve"> </w:t>
      </w:r>
    </w:p>
    <w:p>
      <w:pPr>
        <w:adjustRightInd w:val="0"/>
        <w:snapToGrid w:val="0"/>
        <w:spacing w:line="360" w:lineRule="auto"/>
        <w:rPr>
          <w:rFonts w:hint="eastAsia" w:ascii="宋体" w:hAnsi="宋体" w:cs="宋体"/>
          <w:color w:val="000000"/>
          <w:szCs w:val="21"/>
        </w:rPr>
      </w:pPr>
    </w:p>
    <w:p>
      <w:pPr>
        <w:adjustRightInd w:val="0"/>
        <w:snapToGrid w:val="0"/>
        <w:spacing w:line="360" w:lineRule="auto"/>
        <w:rPr>
          <w:rFonts w:hint="eastAsia" w:ascii="宋体" w:hAnsi="宋体" w:cs="宋体"/>
          <w:color w:val="000000"/>
          <w:szCs w:val="21"/>
        </w:rPr>
        <w:sectPr>
          <w:headerReference r:id="rId5" w:type="default"/>
          <w:footerReference r:id="rId6" w:type="default"/>
          <w:pgSz w:w="11906" w:h="16838"/>
          <w:pgMar w:top="1440" w:right="1140" w:bottom="1440" w:left="1140" w:header="851" w:footer="992" w:gutter="0"/>
          <w:cols w:space="720" w:num="1"/>
          <w:docGrid w:type="lines" w:linePitch="312" w:charSpace="0"/>
        </w:sect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p>
    <w:p>
      <w:pPr>
        <w:rPr>
          <w:rFonts w:hint="eastAsia" w:ascii="宋体" w:hAnsi="宋体"/>
          <w:color w:val="000000"/>
          <w:sz w:val="28"/>
          <w:szCs w:val="28"/>
        </w:rPr>
      </w:pPr>
      <w:bookmarkStart w:id="10" w:name="_Toc462310592"/>
    </w:p>
    <w:p>
      <w:pPr>
        <w:pStyle w:val="4"/>
        <w:spacing w:after="156" w:afterLines="50" w:line="360" w:lineRule="auto"/>
        <w:rPr>
          <w:rFonts w:hint="eastAsia" w:ascii="宋体" w:hAnsi="宋体" w:cs="宋体"/>
          <w:color w:val="000000"/>
          <w:sz w:val="28"/>
          <w:szCs w:val="28"/>
        </w:rPr>
      </w:pPr>
      <w:r>
        <w:rPr>
          <w:rFonts w:hint="eastAsia" w:ascii="宋体" w:hAnsi="宋体" w:cs="宋体"/>
          <w:color w:val="000000"/>
          <w:sz w:val="32"/>
          <w:szCs w:val="32"/>
        </w:rPr>
        <w:t>参选单位业绩汇总表</w:t>
      </w:r>
      <w:bookmarkEnd w:id="10"/>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642"/>
        <w:gridCol w:w="1553"/>
        <w:gridCol w:w="1333"/>
        <w:gridCol w:w="205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序号</w:t>
            </w:r>
          </w:p>
        </w:tc>
        <w:tc>
          <w:tcPr>
            <w:tcW w:w="1642"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项目名称</w:t>
            </w:r>
          </w:p>
        </w:tc>
        <w:tc>
          <w:tcPr>
            <w:tcW w:w="155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合同签订日期</w:t>
            </w:r>
          </w:p>
        </w:tc>
        <w:tc>
          <w:tcPr>
            <w:tcW w:w="1333"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合同金额</w:t>
            </w:r>
          </w:p>
        </w:tc>
        <w:tc>
          <w:tcPr>
            <w:tcW w:w="2052" w:type="dxa"/>
            <w:noWrap w:val="0"/>
            <w:vAlign w:val="center"/>
          </w:tcPr>
          <w:p>
            <w:pPr>
              <w:adjustRightInd w:val="0"/>
              <w:snapToGrid w:val="0"/>
              <w:jc w:val="center"/>
              <w:rPr>
                <w:rFonts w:hint="eastAsia" w:ascii="宋体" w:hAnsi="宋体" w:cs="宋体"/>
                <w:b/>
                <w:color w:val="000000"/>
                <w:kern w:val="0"/>
                <w:szCs w:val="21"/>
              </w:rPr>
            </w:pPr>
            <w:r>
              <w:rPr>
                <w:rFonts w:hint="eastAsia" w:ascii="宋体" w:hAnsi="宋体" w:cs="宋体"/>
                <w:b/>
                <w:color w:val="000000"/>
                <w:kern w:val="0"/>
                <w:szCs w:val="21"/>
              </w:rPr>
              <w:t>合同签订甲方单位名称及联系方式</w:t>
            </w:r>
          </w:p>
        </w:tc>
        <w:tc>
          <w:tcPr>
            <w:tcW w:w="1281" w:type="dxa"/>
            <w:noWrap w:val="0"/>
            <w:vAlign w:val="center"/>
          </w:tcPr>
          <w:p>
            <w:pPr>
              <w:adjustRightInd w:val="0"/>
              <w:snapToGrid w:val="0"/>
              <w:spacing w:before="156" w:beforeLines="50" w:line="360" w:lineRule="auto"/>
              <w:jc w:val="center"/>
              <w:rPr>
                <w:rFonts w:hint="eastAsia" w:ascii="宋体" w:hAns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64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55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333"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2052"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c>
          <w:tcPr>
            <w:tcW w:w="1281" w:type="dxa"/>
            <w:noWrap w:val="0"/>
            <w:vAlign w:val="center"/>
          </w:tcPr>
          <w:p>
            <w:pPr>
              <w:adjustRightInd w:val="0"/>
              <w:snapToGrid w:val="0"/>
              <w:spacing w:before="156" w:beforeLines="50" w:line="360" w:lineRule="auto"/>
              <w:jc w:val="center"/>
              <w:rPr>
                <w:rFonts w:hint="eastAsia" w:ascii="宋体" w:hAnsi="宋体" w:cs="宋体"/>
                <w:color w:val="000000"/>
                <w:szCs w:val="21"/>
              </w:rPr>
            </w:pPr>
          </w:p>
        </w:tc>
      </w:tr>
    </w:tbl>
    <w:p>
      <w:pPr>
        <w:rPr>
          <w:rFonts w:hint="eastAsia" w:ascii="宋体" w:hAnsi="宋体"/>
          <w:color w:val="000000"/>
        </w:rPr>
      </w:pPr>
    </w:p>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备注：合同需真实有效，如发现虚假合同以废标处理</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lang w:val="en-US" w:eastAsia="zh-CN"/>
        </w:rPr>
      </w:pPr>
      <w:r>
        <w:rPr>
          <w:rFonts w:hint="eastAsia" w:ascii="宋体" w:hAnsi="宋体" w:cs="宋体"/>
          <w:color w:val="000000"/>
          <w:szCs w:val="21"/>
        </w:rPr>
        <w:t>法定代表人或其委托代理人(签字)：</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rPr>
          <w:rFonts w:hint="eastAsia" w:ascii="宋体" w:hAnsi="宋体" w:cs="宋体"/>
          <w:color w:val="000000"/>
          <w:szCs w:val="21"/>
          <w:lang w:val="en-US" w:eastAsia="zh-CN"/>
        </w:rPr>
      </w:pPr>
    </w:p>
    <w:p>
      <w:pPr>
        <w:adjustRightInd w:val="0"/>
        <w:snapToGrid w:val="0"/>
        <w:spacing w:before="156" w:beforeLines="50" w:line="360" w:lineRule="auto"/>
        <w:rPr>
          <w:rFonts w:hint="eastAsia" w:ascii="宋体" w:hAnsi="宋体" w:cs="宋体"/>
          <w:color w:val="000000"/>
          <w:szCs w:val="21"/>
          <w:u w:val="single"/>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日</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4"/>
        <w:spacing w:after="156" w:afterLines="50" w:line="360" w:lineRule="auto"/>
        <w:rPr>
          <w:rFonts w:hint="eastAsia" w:ascii="宋体" w:hAnsi="宋体" w:cs="宋体"/>
          <w:color w:val="000000"/>
          <w:sz w:val="32"/>
          <w:szCs w:val="32"/>
          <w:lang w:eastAsia="zh-CN"/>
        </w:rPr>
      </w:pPr>
      <w:r>
        <w:rPr>
          <w:rFonts w:hint="eastAsia" w:ascii="宋体" w:hAnsi="宋体" w:cs="宋体"/>
          <w:color w:val="000000"/>
          <w:sz w:val="32"/>
          <w:szCs w:val="32"/>
          <w:lang w:val="en-US" w:eastAsia="zh-CN"/>
        </w:rPr>
        <w:t>展会吊点作业</w:t>
      </w:r>
      <w:r>
        <w:rPr>
          <w:rFonts w:hint="eastAsia" w:ascii="宋体" w:hAnsi="宋体" w:cs="宋体"/>
          <w:color w:val="000000"/>
          <w:sz w:val="32"/>
          <w:szCs w:val="32"/>
          <w:lang w:eastAsia="zh-CN"/>
        </w:rPr>
        <w:t>方案</w:t>
      </w:r>
    </w:p>
    <w:p>
      <w:pPr>
        <w:rPr>
          <w:rFonts w:hint="eastAsia" w:ascii="宋体" w:hAnsi="宋体" w:cs="宋体"/>
          <w:color w:val="000000"/>
          <w:sz w:val="32"/>
          <w:szCs w:val="32"/>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rPr>
          <w:rFonts w:hint="default" w:ascii="仿宋" w:hAnsi="仿宋" w:eastAsia="仿宋" w:cs="仿宋"/>
          <w:color w:val="000000"/>
          <w:sz w:val="28"/>
          <w:szCs w:val="28"/>
          <w:lang w:val="en-US" w:eastAsia="zh-CN"/>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tabs>
          <w:tab w:val="left" w:pos="3277"/>
        </w:tabs>
        <w:spacing w:line="360" w:lineRule="auto"/>
        <w:rPr>
          <w:rFonts w:hint="eastAsia" w:ascii="宋体" w:hAnsi="宋体" w:cs="宋体"/>
          <w:color w:val="000000"/>
        </w:rPr>
      </w:pPr>
    </w:p>
    <w:p>
      <w:pPr>
        <w:pStyle w:val="4"/>
        <w:spacing w:before="156" w:beforeLines="50" w:line="360" w:lineRule="auto"/>
        <w:ind w:firstLine="1606" w:firstLineChars="500"/>
        <w:jc w:val="both"/>
        <w:rPr>
          <w:rFonts w:hint="eastAsia" w:ascii="仿宋" w:hAnsi="仿宋" w:eastAsia="仿宋" w:cs="仿宋"/>
          <w:color w:val="000000"/>
          <w:sz w:val="32"/>
          <w:szCs w:val="32"/>
        </w:rPr>
      </w:pPr>
      <w:bookmarkStart w:id="11" w:name="_Toc462310594"/>
      <w:r>
        <w:rPr>
          <w:rFonts w:hint="eastAsia" w:ascii="仿宋" w:hAnsi="仿宋" w:eastAsia="仿宋" w:cs="仿宋"/>
          <w:color w:val="000000"/>
          <w:sz w:val="32"/>
          <w:szCs w:val="32"/>
        </w:rPr>
        <w:t>参选单位具备比选资格的证明文件</w:t>
      </w:r>
      <w:bookmarkEnd w:id="11"/>
      <w:bookmarkStart w:id="12" w:name="_Toc294186060"/>
      <w:bookmarkStart w:id="13" w:name="_Toc294206743"/>
    </w:p>
    <w:p>
      <w:pPr>
        <w:tabs>
          <w:tab w:val="left" w:pos="4725"/>
        </w:tabs>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ab/>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1、</w:t>
      </w:r>
      <w:r>
        <w:rPr>
          <w:rFonts w:hint="eastAsia" w:ascii="仿宋" w:hAnsi="仿宋" w:eastAsia="仿宋" w:cs="仿宋"/>
          <w:color w:val="000000"/>
          <w:kern w:val="0"/>
          <w:sz w:val="28"/>
          <w:szCs w:val="28"/>
        </w:rPr>
        <w:t>法定代表人身份证明（法定代表人作为签字或盖章）</w:t>
      </w:r>
    </w:p>
    <w:p>
      <w:pPr>
        <w:adjustRightInd w:val="0"/>
        <w:snapToGrid w:val="0"/>
        <w:spacing w:before="156" w:beforeLines="50" w:line="360" w:lineRule="auto"/>
        <w:rPr>
          <w:rFonts w:hint="eastAsia" w:ascii="仿宋" w:hAnsi="仿宋" w:eastAsia="仿宋" w:cs="仿宋"/>
          <w:color w:val="000000"/>
          <w:kern w:val="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2、</w:t>
      </w:r>
      <w:r>
        <w:rPr>
          <w:rFonts w:hint="eastAsia" w:ascii="仿宋" w:hAnsi="仿宋" w:eastAsia="仿宋" w:cs="仿宋"/>
          <w:color w:val="000000"/>
          <w:kern w:val="0"/>
          <w:sz w:val="28"/>
          <w:szCs w:val="28"/>
        </w:rPr>
        <w:t>法定代表人授权委托书（委托代理人作为签字或盖章）</w:t>
      </w:r>
    </w:p>
    <w:p>
      <w:pPr>
        <w:adjustRightInd w:val="0"/>
        <w:snapToGrid w:val="0"/>
        <w:spacing w:before="156" w:beforeLines="50" w:line="360" w:lineRule="auto"/>
        <w:rPr>
          <w:rFonts w:hint="eastAsia" w:ascii="仿宋" w:hAnsi="仿宋" w:eastAsia="仿宋" w:cs="仿宋"/>
          <w:bCs/>
          <w:color w:val="000000"/>
          <w:sz w:val="28"/>
          <w:szCs w:val="28"/>
        </w:rPr>
      </w:pPr>
      <w:r>
        <w:rPr>
          <w:rFonts w:hint="eastAsia" w:ascii="仿宋" w:hAnsi="仿宋" w:eastAsia="仿宋" w:cs="仿宋"/>
          <w:bCs/>
          <w:color w:val="000000"/>
          <w:sz w:val="28"/>
          <w:szCs w:val="28"/>
        </w:rPr>
        <w:t>附</w:t>
      </w:r>
      <w:r>
        <w:rPr>
          <w:rFonts w:hint="eastAsia" w:ascii="仿宋" w:hAnsi="仿宋" w:eastAsia="仿宋" w:cs="仿宋"/>
          <w:color w:val="000000"/>
          <w:sz w:val="28"/>
          <w:szCs w:val="28"/>
        </w:rPr>
        <w:t>3、参选单位基本资格条件</w:t>
      </w:r>
      <w:r>
        <w:rPr>
          <w:rFonts w:hint="eastAsia" w:ascii="仿宋" w:hAnsi="仿宋" w:eastAsia="仿宋" w:cs="仿宋"/>
          <w:bCs/>
          <w:color w:val="000000"/>
          <w:sz w:val="28"/>
          <w:szCs w:val="28"/>
        </w:rPr>
        <w:t>证明文件</w:t>
      </w:r>
    </w:p>
    <w:p>
      <w:pPr>
        <w:adjustRightInd w:val="0"/>
        <w:snapToGrid w:val="0"/>
        <w:spacing w:before="156" w:beforeLines="50" w:line="360" w:lineRule="auto"/>
        <w:rPr>
          <w:rFonts w:hint="eastAsia" w:ascii="仿宋" w:hAnsi="仿宋" w:eastAsia="仿宋" w:cs="仿宋"/>
          <w:color w:val="000000"/>
          <w:sz w:val="28"/>
          <w:szCs w:val="28"/>
        </w:rPr>
      </w:pPr>
      <w:r>
        <w:rPr>
          <w:rFonts w:hint="eastAsia" w:ascii="仿宋" w:hAnsi="仿宋" w:eastAsia="仿宋" w:cs="仿宋"/>
          <w:bCs/>
          <w:color w:val="000000"/>
          <w:sz w:val="28"/>
          <w:szCs w:val="28"/>
        </w:rPr>
        <w:t>附4、</w:t>
      </w:r>
      <w:r>
        <w:rPr>
          <w:rFonts w:hint="eastAsia" w:ascii="仿宋" w:hAnsi="仿宋" w:eastAsia="仿宋" w:cs="仿宋"/>
          <w:color w:val="000000"/>
          <w:sz w:val="28"/>
          <w:szCs w:val="28"/>
        </w:rPr>
        <w:t>参加采购活动前三年内在经营活动中没有重大违法记录的书面声明</w:t>
      </w:r>
    </w:p>
    <w:p>
      <w:pPr>
        <w:spacing w:line="360" w:lineRule="auto"/>
        <w:rPr>
          <w:rFonts w:hint="eastAsia" w:ascii="仿宋" w:hAnsi="仿宋" w:eastAsia="仿宋" w:cs="仿宋"/>
          <w:color w:val="000000"/>
          <w:sz w:val="28"/>
          <w:szCs w:val="28"/>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ascii="宋体" w:hAnsi="宋体"/>
          <w:color w:val="000000"/>
        </w:rPr>
        <w:sectPr>
          <w:headerReference r:id="rId7" w:type="default"/>
          <w:footerReference r:id="rId8" w:type="default"/>
          <w:pgSz w:w="11906" w:h="16838"/>
          <w:pgMar w:top="1440" w:right="1140" w:bottom="1440" w:left="1140" w:header="851" w:footer="992" w:gutter="0"/>
          <w:cols w:space="720" w:num="1"/>
          <w:docGrid w:type="lines" w:linePitch="312" w:charSpace="0"/>
        </w:sect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 xml:space="preserve">附1  </w:t>
      </w:r>
    </w:p>
    <w:p>
      <w:pPr>
        <w:spacing w:line="360" w:lineRule="auto"/>
        <w:jc w:val="center"/>
        <w:rPr>
          <w:rFonts w:hint="eastAsia" w:ascii="宋体" w:hAnsi="宋体" w:cs="宋体"/>
          <w:b/>
          <w:color w:val="000000"/>
          <w:sz w:val="32"/>
          <w:szCs w:val="32"/>
        </w:rPr>
      </w:pPr>
      <w:r>
        <w:rPr>
          <w:rFonts w:hint="eastAsia" w:ascii="宋体" w:hAnsi="宋体" w:cs="宋体"/>
          <w:b/>
          <w:bCs/>
          <w:color w:val="000000"/>
          <w:sz w:val="28"/>
          <w:szCs w:val="28"/>
        </w:rPr>
        <w:t>法定代表人身份证明</w:t>
      </w:r>
    </w:p>
    <w:p>
      <w:pPr>
        <w:adjustRightInd w:val="0"/>
        <w:snapToGrid w:val="0"/>
        <w:spacing w:before="156" w:beforeLines="50" w:line="360" w:lineRule="auto"/>
        <w:rPr>
          <w:rFonts w:hint="eastAsia" w:ascii="宋体" w:hAnsi="宋体" w:cs="宋体"/>
          <w:color w:val="000000"/>
          <w:szCs w:val="21"/>
        </w:rPr>
      </w:pP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szCs w:val="21"/>
        </w:rPr>
        <w:t>参选单位</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eastAsia="宋体" w:cs="宋体"/>
          <w:color w:val="000000"/>
          <w:kern w:val="0"/>
          <w:szCs w:val="21"/>
          <w:u w:val="none"/>
          <w:lang w:eastAsia="zh-CN"/>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r>
        <w:rPr>
          <w:rFonts w:hint="eastAsia" w:ascii="宋体" w:hAnsi="宋体" w:cs="宋体"/>
          <w:color w:val="000000"/>
          <w:kern w:val="0"/>
          <w:szCs w:val="21"/>
          <w:u w:val="none"/>
          <w:lang w:eastAsia="zh-CN"/>
        </w:rPr>
        <w:t>；</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职务：</w:t>
      </w:r>
      <w:r>
        <w:rPr>
          <w:rFonts w:hint="eastAsia" w:ascii="宋体" w:hAnsi="宋体" w:cs="宋体"/>
          <w:color w:val="000000"/>
          <w:kern w:val="0"/>
          <w:szCs w:val="21"/>
          <w:u w:val="single"/>
        </w:rPr>
        <w:t xml:space="preserve">         </w:t>
      </w: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156" w:beforeLines="50" w:line="360" w:lineRule="auto"/>
        <w:jc w:val="left"/>
        <w:rPr>
          <w:rFonts w:hint="eastAsia" w:ascii="宋体" w:hAnsi="宋体" w:cs="宋体"/>
          <w:color w:val="000000"/>
          <w:kern w:val="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法定代表人身份证复印件</w:t>
            </w:r>
          </w:p>
        </w:tc>
      </w:tr>
    </w:tbl>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ind w:right="420"/>
        <w:rPr>
          <w:rFonts w:hint="eastAsia" w:ascii="宋体" w:hAnsi="宋体" w:cs="宋体"/>
          <w:color w:val="000000"/>
          <w:szCs w:val="21"/>
        </w:rPr>
      </w:pPr>
    </w:p>
    <w:p>
      <w:pPr>
        <w:tabs>
          <w:tab w:val="left" w:pos="705"/>
        </w:tabs>
        <w:adjustRightInd w:val="0"/>
        <w:snapToGrid w:val="0"/>
        <w:spacing w:before="156" w:beforeLines="50" w:line="360" w:lineRule="auto"/>
        <w:ind w:right="420"/>
        <w:rPr>
          <w:rFonts w:hint="eastAsia" w:ascii="仿宋" w:hAnsi="仿宋" w:eastAsia="仿宋" w:cs="仿宋"/>
          <w:color w:val="000000"/>
          <w:sz w:val="28"/>
          <w:szCs w:val="28"/>
        </w:rPr>
      </w:pPr>
    </w:p>
    <w:p>
      <w:pPr>
        <w:tabs>
          <w:tab w:val="left" w:pos="705"/>
        </w:tabs>
        <w:adjustRightInd w:val="0"/>
        <w:snapToGrid w:val="0"/>
        <w:spacing w:before="156" w:beforeLines="50" w:line="360" w:lineRule="auto"/>
        <w:ind w:right="420"/>
        <w:rPr>
          <w:rFonts w:hint="eastAsia" w:ascii="宋体" w:hAnsi="宋体" w:cs="宋体"/>
          <w:color w:val="000000"/>
          <w:sz w:val="28"/>
          <w:szCs w:val="28"/>
        </w:rPr>
      </w:pPr>
      <w:r>
        <w:rPr>
          <w:rFonts w:hint="eastAsia" w:ascii="宋体" w:hAnsi="宋体" w:cs="宋体"/>
          <w:color w:val="000000"/>
          <w:sz w:val="28"/>
          <w:szCs w:val="28"/>
        </w:rPr>
        <w:t xml:space="preserve">附2  </w:t>
      </w:r>
    </w:p>
    <w:p>
      <w:pPr>
        <w:spacing w:line="360" w:lineRule="auto"/>
        <w:jc w:val="center"/>
        <w:rPr>
          <w:rFonts w:hint="eastAsia" w:ascii="宋体" w:hAnsi="宋体" w:cs="宋体"/>
          <w:b/>
          <w:bCs/>
          <w:color w:val="000000"/>
          <w:sz w:val="32"/>
          <w:szCs w:val="32"/>
        </w:rPr>
      </w:pPr>
      <w:r>
        <w:rPr>
          <w:rFonts w:hint="eastAsia" w:ascii="宋体" w:hAnsi="宋体" w:cs="宋体"/>
          <w:b/>
          <w:bCs/>
          <w:color w:val="000000"/>
          <w:sz w:val="28"/>
          <w:szCs w:val="28"/>
        </w:rPr>
        <w:t>法定代表人授权委托书</w:t>
      </w:r>
    </w:p>
    <w:p>
      <w:pPr>
        <w:adjustRightInd w:val="0"/>
        <w:snapToGrid w:val="0"/>
        <w:spacing w:line="360" w:lineRule="auto"/>
        <w:rPr>
          <w:rFonts w:hint="eastAsia" w:ascii="宋体" w:hAnsi="宋体" w:cs="宋体"/>
          <w:bCs/>
          <w:color w:val="000000"/>
          <w:szCs w:val="21"/>
        </w:rPr>
      </w:pPr>
    </w:p>
    <w:p>
      <w:pPr>
        <w:rPr>
          <w:rFonts w:hint="eastAsia" w:ascii="宋体" w:hAnsi="宋体" w:cs="宋体"/>
          <w:color w:val="000000"/>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zCs w:val="21"/>
        </w:rPr>
        <w:t>参选单位</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（项目名称）比选文件、签订合同、询问、质疑、投诉等相关事项，其法律后果由我方承担。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hint="eastAsia"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日签字或盖章生效，特此声明。</w:t>
      </w:r>
    </w:p>
    <w:p>
      <w:pPr>
        <w:adjustRightInd w:val="0"/>
        <w:snapToGrid w:val="0"/>
        <w:spacing w:before="156" w:beforeLines="50" w:line="360" w:lineRule="auto"/>
        <w:ind w:firstLine="420" w:firstLineChars="200"/>
        <w:rPr>
          <w:rFonts w:hint="eastAsia" w:ascii="宋体" w:hAnsi="宋体" w:cs="宋体"/>
          <w:color w:val="000000"/>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cs="宋体"/>
                <w:color w:val="000000"/>
                <w:szCs w:val="21"/>
              </w:rPr>
            </w:pPr>
            <w:r>
              <w:rPr>
                <w:rFonts w:hint="eastAsia" w:ascii="宋体" w:hAnsi="宋体" w:cs="宋体"/>
                <w:color w:val="000000"/>
                <w:szCs w:val="21"/>
              </w:rPr>
              <w:t>委托代理人身份证复印件</w:t>
            </w:r>
          </w:p>
        </w:tc>
      </w:tr>
    </w:tbl>
    <w:p>
      <w:pPr>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附：法定代表人身份证明</w:t>
      </w:r>
    </w:p>
    <w:p>
      <w:pPr>
        <w:adjustRightInd w:val="0"/>
        <w:snapToGrid w:val="0"/>
        <w:spacing w:before="156" w:beforeLines="50" w:line="360" w:lineRule="auto"/>
        <w:ind w:firstLine="420" w:firstLineChars="20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ind w:right="420"/>
        <w:rPr>
          <w:rFonts w:hint="eastAsia" w:ascii="宋体" w:hAnsi="宋体" w:cs="宋体"/>
          <w:color w:val="000000"/>
          <w:szCs w:val="21"/>
        </w:rPr>
      </w:pP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法定代表人（签字）：</w:t>
      </w:r>
      <w:r>
        <w:rPr>
          <w:rFonts w:hint="eastAsia" w:ascii="宋体" w:hAnsi="宋体" w:cs="宋体"/>
          <w:color w:val="000000"/>
          <w:szCs w:val="21"/>
          <w:u w:val="single"/>
        </w:rPr>
        <w:t xml:space="preserve">                     </w:t>
      </w:r>
    </w:p>
    <w:p>
      <w:pPr>
        <w:adjustRightInd w:val="0"/>
        <w:snapToGrid w:val="0"/>
        <w:spacing w:before="156" w:beforeLines="50" w:line="360" w:lineRule="auto"/>
        <w:ind w:right="420"/>
        <w:rPr>
          <w:rFonts w:hint="eastAsia" w:ascii="宋体" w:hAnsi="宋体" w:cs="宋体"/>
          <w:color w:val="000000"/>
          <w:szCs w:val="21"/>
        </w:rPr>
      </w:pPr>
      <w:r>
        <w:rPr>
          <w:rFonts w:hint="eastAsia" w:ascii="宋体" w:hAnsi="宋体" w:cs="宋体"/>
          <w:color w:val="000000"/>
          <w:szCs w:val="21"/>
        </w:rPr>
        <w:t>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bookmarkEnd w:id="12"/>
    <w:bookmarkEnd w:id="13"/>
    <w:p>
      <w:pPr>
        <w:adjustRightInd w:val="0"/>
        <w:snapToGrid w:val="0"/>
        <w:spacing w:before="156" w:beforeLines="50" w:line="360" w:lineRule="auto"/>
        <w:rPr>
          <w:rFonts w:hint="eastAsia" w:ascii="仿宋" w:hAnsi="仿宋" w:eastAsia="仿宋" w:cs="仿宋"/>
          <w:color w:val="000000"/>
          <w:szCs w:val="21"/>
        </w:rPr>
        <w:sectPr>
          <w:pgSz w:w="11906" w:h="16838"/>
          <w:pgMar w:top="1440" w:right="1140" w:bottom="1440" w:left="1140" w:header="851" w:footer="992" w:gutter="0"/>
          <w:cols w:space="720" w:num="1"/>
          <w:docGrid w:type="lines" w:linePitch="312" w:charSpace="0"/>
        </w:sectPr>
      </w:pPr>
      <w:bookmarkStart w:id="14" w:name="_Toc294206747"/>
      <w:bookmarkStart w:id="15" w:name="_Toc294186064"/>
    </w:p>
    <w:p>
      <w:pPr>
        <w:adjustRightInd w:val="0"/>
        <w:snapToGrid w:val="0"/>
        <w:spacing w:before="156" w:beforeLines="50" w:line="360" w:lineRule="auto"/>
        <w:rPr>
          <w:rFonts w:hint="eastAsia" w:ascii="宋体" w:hAnsi="宋体" w:cs="宋体"/>
          <w:color w:val="000000"/>
          <w:sz w:val="28"/>
          <w:szCs w:val="28"/>
        </w:rPr>
      </w:pPr>
      <w:r>
        <w:rPr>
          <w:rFonts w:hint="eastAsia" w:ascii="宋体" w:hAnsi="宋体" w:cs="宋体"/>
          <w:color w:val="000000"/>
          <w:sz w:val="28"/>
          <w:szCs w:val="28"/>
        </w:rPr>
        <w:t>附3</w:t>
      </w:r>
    </w:p>
    <w:bookmarkEnd w:id="14"/>
    <w:bookmarkEnd w:id="15"/>
    <w:p>
      <w:pPr>
        <w:adjustRightInd w:val="0"/>
        <w:snapToGrid w:val="0"/>
        <w:spacing w:before="156" w:beforeLines="50" w:line="360" w:lineRule="auto"/>
        <w:ind w:right="420"/>
        <w:jc w:val="center"/>
        <w:rPr>
          <w:rFonts w:hint="eastAsia" w:ascii="宋体" w:hAnsi="宋体" w:cs="宋体"/>
          <w:b/>
          <w:bCs/>
          <w:color w:val="000000"/>
          <w:sz w:val="32"/>
          <w:szCs w:val="32"/>
        </w:rPr>
      </w:pPr>
      <w:r>
        <w:rPr>
          <w:rFonts w:hint="eastAsia" w:ascii="宋体" w:hAnsi="宋体" w:cs="宋体"/>
          <w:b/>
          <w:bCs/>
          <w:color w:val="000000"/>
          <w:sz w:val="28"/>
          <w:szCs w:val="28"/>
        </w:rPr>
        <w:t>参选单位基本资格条件证明文件</w:t>
      </w:r>
    </w:p>
    <w:p>
      <w:pPr>
        <w:spacing w:line="360" w:lineRule="auto"/>
        <w:rPr>
          <w:rFonts w:hint="eastAsia" w:ascii="宋体" w:hAnsi="宋体" w:cs="宋体"/>
          <w:color w:val="000000"/>
        </w:rPr>
      </w:pPr>
    </w:p>
    <w:p>
      <w:pPr>
        <w:spacing w:line="360" w:lineRule="auto"/>
        <w:rPr>
          <w:rFonts w:hint="eastAsia" w:ascii="宋体" w:hAnsi="宋体" w:cs="宋体"/>
          <w:color w:val="000000"/>
          <w:szCs w:val="21"/>
        </w:rPr>
      </w:pPr>
      <w:bookmarkStart w:id="16" w:name="_Toc294206748"/>
      <w:r>
        <w:rPr>
          <w:rFonts w:hint="eastAsia" w:ascii="宋体" w:hAnsi="宋体" w:cs="宋体"/>
          <w:color w:val="000000"/>
          <w:szCs w:val="21"/>
        </w:rPr>
        <w:t>1.须附下列证明文件(原件及复印件)：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（1）法人提交企业法人营业执照副本(或者法人登记证书)以及组织机构代码证副本复印件；</w:t>
      </w:r>
    </w:p>
    <w:p>
      <w:pPr>
        <w:adjustRightInd w:val="0"/>
        <w:spacing w:line="360" w:lineRule="auto"/>
        <w:rPr>
          <w:rFonts w:hint="eastAsia" w:ascii="宋体" w:hAnsi="宋体" w:cs="宋体"/>
          <w:color w:val="000000"/>
          <w:szCs w:val="21"/>
        </w:rPr>
      </w:pPr>
      <w:r>
        <w:rPr>
          <w:rFonts w:hint="eastAsia" w:ascii="宋体" w:hAnsi="宋体" w:cs="宋体"/>
          <w:color w:val="000000"/>
          <w:szCs w:val="21"/>
        </w:rPr>
        <w:t>（2）参选单位具有实行了“三证合一”登记制度改革的新证，视同为持有工商营业执照、组织机构代码证和税务登记证，符合基本资格条件的相关条款。</w:t>
      </w:r>
    </w:p>
    <w:p>
      <w:pPr>
        <w:spacing w:line="360" w:lineRule="auto"/>
        <w:rPr>
          <w:rFonts w:hint="eastAsia" w:ascii="宋体" w:hAnsi="宋体" w:cs="宋体"/>
          <w:color w:val="000000"/>
          <w:szCs w:val="21"/>
        </w:rPr>
      </w:pPr>
    </w:p>
    <w:bookmarkEnd w:id="16"/>
    <w:p>
      <w:pPr>
        <w:spacing w:line="360" w:lineRule="auto"/>
        <w:rPr>
          <w:rFonts w:hint="eastAsia" w:ascii="宋体" w:hAnsi="宋体" w:cs="宋体"/>
          <w:color w:val="000000"/>
          <w:szCs w:val="21"/>
        </w:rPr>
      </w:pPr>
      <w:r>
        <w:rPr>
          <w:rFonts w:hint="eastAsia" w:ascii="宋体" w:hAnsi="宋体" w:cs="宋体"/>
          <w:color w:val="000000"/>
          <w:szCs w:val="21"/>
        </w:rPr>
        <w:t>2.上述证明文件复印件均须加盖参选单位公章。</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spacing w:line="360" w:lineRule="auto"/>
        <w:rPr>
          <w:rFonts w:hint="eastAsia" w:ascii="宋体" w:hAnsi="宋体"/>
          <w:color w:val="000000"/>
          <w:sz w:val="28"/>
          <w:szCs w:val="28"/>
        </w:rPr>
      </w:pPr>
    </w:p>
    <w:p>
      <w:pPr>
        <w:adjustRightInd w:val="0"/>
        <w:snapToGrid w:val="0"/>
        <w:spacing w:line="360" w:lineRule="auto"/>
        <w:rPr>
          <w:rFonts w:hint="eastAsia" w:ascii="宋体" w:hAnsi="宋体"/>
          <w:bCs/>
          <w:color w:val="000000"/>
          <w:sz w:val="28"/>
          <w:szCs w:val="28"/>
        </w:rPr>
      </w:pPr>
    </w:p>
    <w:p>
      <w:pPr>
        <w:adjustRightInd w:val="0"/>
        <w:snapToGrid w:val="0"/>
        <w:spacing w:line="360" w:lineRule="auto"/>
        <w:rPr>
          <w:rFonts w:hint="eastAsia" w:ascii="宋体" w:hAnsi="宋体" w:cs="宋体"/>
          <w:bCs/>
          <w:color w:val="000000"/>
          <w:sz w:val="28"/>
          <w:szCs w:val="28"/>
        </w:rPr>
      </w:pPr>
      <w:r>
        <w:rPr>
          <w:rFonts w:hint="eastAsia" w:ascii="宋体" w:hAnsi="宋体" w:cs="宋体"/>
          <w:bCs/>
          <w:color w:val="000000"/>
          <w:sz w:val="28"/>
          <w:szCs w:val="28"/>
        </w:rPr>
        <w:t>附4</w:t>
      </w:r>
    </w:p>
    <w:p>
      <w:pPr>
        <w:adjustRightInd w:val="0"/>
        <w:snapToGrid w:val="0"/>
        <w:spacing w:line="360" w:lineRule="auto"/>
        <w:jc w:val="center"/>
        <w:rPr>
          <w:rFonts w:hint="eastAsia" w:ascii="宋体" w:hAnsi="宋体" w:cs="宋体"/>
          <w:b/>
          <w:bCs/>
          <w:color w:val="000000"/>
          <w:sz w:val="28"/>
          <w:szCs w:val="28"/>
        </w:rPr>
      </w:pPr>
      <w:r>
        <w:rPr>
          <w:rFonts w:hint="eastAsia" w:ascii="宋体" w:hAnsi="宋体" w:cs="宋体"/>
          <w:b/>
          <w:bCs/>
          <w:color w:val="000000"/>
          <w:sz w:val="28"/>
          <w:szCs w:val="28"/>
        </w:rPr>
        <w:t>参加采购活动前三年内在经营活动中</w:t>
      </w:r>
    </w:p>
    <w:p>
      <w:pPr>
        <w:adjustRightInd w:val="0"/>
        <w:snapToGrid w:val="0"/>
        <w:spacing w:line="360" w:lineRule="auto"/>
        <w:jc w:val="center"/>
        <w:rPr>
          <w:rFonts w:hint="eastAsia" w:ascii="宋体" w:hAnsi="宋体" w:cs="宋体"/>
          <w:color w:val="000000"/>
          <w:sz w:val="28"/>
          <w:szCs w:val="28"/>
        </w:rPr>
      </w:pPr>
      <w:r>
        <w:rPr>
          <w:rFonts w:hint="eastAsia" w:ascii="宋体" w:hAnsi="宋体" w:cs="宋体"/>
          <w:b/>
          <w:bCs/>
          <w:color w:val="000000"/>
          <w:sz w:val="28"/>
          <w:szCs w:val="28"/>
        </w:rPr>
        <w:t>没有重大违法记录的书面声明</w:t>
      </w:r>
    </w:p>
    <w:p>
      <w:pPr>
        <w:spacing w:line="360" w:lineRule="auto"/>
        <w:rPr>
          <w:rFonts w:hint="eastAsia"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       </w:t>
      </w:r>
      <w:r>
        <w:rPr>
          <w:rFonts w:hint="eastAsia" w:ascii="宋体" w:hAnsi="宋体" w:cs="宋体"/>
          <w:color w:val="000000"/>
        </w:rPr>
        <w:t>：</w:t>
      </w:r>
    </w:p>
    <w:p>
      <w:pPr>
        <w:tabs>
          <w:tab w:val="left" w:pos="1171"/>
        </w:tabs>
        <w:spacing w:line="360" w:lineRule="auto"/>
        <w:rPr>
          <w:rFonts w:hint="eastAsia" w:ascii="宋体" w:hAnsi="宋体" w:cs="宋体"/>
          <w:color w:val="000000"/>
        </w:rPr>
      </w:pPr>
      <w:r>
        <w:rPr>
          <w:rFonts w:hint="eastAsia" w:ascii="宋体" w:hAnsi="宋体" w:cs="宋体"/>
          <w:color w:val="000000"/>
        </w:rPr>
        <w:tab/>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bCs/>
          <w:color w:val="000000"/>
          <w:szCs w:val="21"/>
        </w:rPr>
        <w:t>我单位在</w:t>
      </w:r>
      <w:r>
        <w:rPr>
          <w:rFonts w:hint="eastAsia" w:ascii="宋体" w:hAnsi="宋体" w:cs="宋体"/>
          <w:color w:val="000000"/>
          <w:szCs w:val="21"/>
        </w:rPr>
        <w:t>参加采购活动前三年内在经营活动中没有重大违法记录，包括：</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受到刑事处罚，</w:t>
      </w:r>
      <w:r>
        <w:rPr>
          <w:rFonts w:hint="eastAsia" w:ascii="宋体" w:hAnsi="宋体" w:cs="宋体"/>
          <w:bCs/>
          <w:color w:val="000000"/>
          <w:szCs w:val="21"/>
        </w:rPr>
        <w:t>受到三万元以上的罚款、责令停产停业、在一至三年内禁止参加政府采购活动、暂扣或者吊销许可证、暂扣或者吊销执照等情形之一的行政处罚，或者存在</w:t>
      </w:r>
      <w:r>
        <w:rPr>
          <w:rFonts w:hint="eastAsia" w:ascii="宋体" w:hAnsi="宋体" w:cs="宋体"/>
          <w:color w:val="000000"/>
          <w:szCs w:val="21"/>
        </w:rPr>
        <w:t>财政部门认定的其他重大违法记录。</w:t>
      </w:r>
    </w:p>
    <w:p>
      <w:pPr>
        <w:widowControl/>
        <w:adjustRightInd w:val="0"/>
        <w:snapToGrid w:val="0"/>
        <w:spacing w:before="156" w:beforeLines="50" w:line="360" w:lineRule="auto"/>
        <w:ind w:firstLine="420" w:firstLineChars="200"/>
        <w:rPr>
          <w:rFonts w:hint="eastAsia" w:ascii="宋体" w:hAnsi="宋体" w:cs="宋体"/>
          <w:color w:val="000000"/>
          <w:szCs w:val="21"/>
        </w:rPr>
      </w:pPr>
      <w:r>
        <w:rPr>
          <w:rFonts w:hint="eastAsia" w:ascii="宋体" w:hAnsi="宋体" w:cs="宋体"/>
          <w:color w:val="000000"/>
          <w:szCs w:val="21"/>
        </w:rPr>
        <w:t>特此声明！</w:t>
      </w:r>
    </w:p>
    <w:p>
      <w:pPr>
        <w:widowControl/>
        <w:adjustRightInd w:val="0"/>
        <w:snapToGrid w:val="0"/>
        <w:spacing w:before="156" w:beforeLines="50" w:line="360" w:lineRule="auto"/>
        <w:ind w:firstLine="420"/>
        <w:rPr>
          <w:rFonts w:hint="eastAsia" w:ascii="宋体" w:hAnsi="宋体" w:cs="宋体"/>
          <w:color w:val="000000"/>
          <w:szCs w:val="21"/>
        </w:rPr>
      </w:pPr>
    </w:p>
    <w:p>
      <w:pPr>
        <w:widowControl/>
        <w:adjustRightInd w:val="0"/>
        <w:snapToGrid w:val="0"/>
        <w:spacing w:before="156" w:beforeLines="50" w:line="360" w:lineRule="auto"/>
        <w:ind w:firstLine="420"/>
        <w:rPr>
          <w:rFonts w:hint="eastAsia" w:ascii="宋体" w:hAnsi="宋体" w:cs="宋体"/>
          <w:color w:val="000000"/>
          <w:szCs w:val="21"/>
        </w:rPr>
      </w:pP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参选单位名称（单位章）：</w:t>
      </w:r>
    </w:p>
    <w:p>
      <w:pPr>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 xml:space="preserve"> </w:t>
      </w:r>
    </w:p>
    <w:p>
      <w:pPr>
        <w:adjustRightInd w:val="0"/>
        <w:snapToGrid w:val="0"/>
        <w:spacing w:before="156" w:beforeLines="50" w:line="360" w:lineRule="auto"/>
        <w:rPr>
          <w:rFonts w:hint="eastAsia" w:ascii="宋体" w:hAnsi="宋体" w:cs="宋体"/>
          <w:color w:val="000000"/>
          <w:szCs w:val="21"/>
          <w:u w:val="single"/>
        </w:rPr>
      </w:pPr>
      <w:r>
        <w:rPr>
          <w:rFonts w:hint="eastAsia" w:ascii="宋体" w:hAnsi="宋体" w:cs="宋体"/>
          <w:color w:val="000000"/>
          <w:szCs w:val="21"/>
        </w:rPr>
        <w:t>法定代表人或其委托代理人（签字）：</w:t>
      </w:r>
      <w:r>
        <w:rPr>
          <w:rFonts w:hint="eastAsia" w:ascii="宋体" w:hAnsi="宋体" w:cs="宋体"/>
          <w:color w:val="000000"/>
          <w:szCs w:val="21"/>
          <w:u w:val="single"/>
        </w:rPr>
        <w:t xml:space="preserve">              </w:t>
      </w:r>
    </w:p>
    <w:p>
      <w:pPr>
        <w:adjustRightInd w:val="0"/>
        <w:snapToGrid w:val="0"/>
        <w:spacing w:before="156" w:beforeLines="50" w:line="360" w:lineRule="auto"/>
        <w:rPr>
          <w:rFonts w:hint="eastAsia" w:ascii="宋体" w:hAnsi="宋体" w:cs="宋体"/>
          <w:color w:val="000000"/>
          <w:szCs w:val="21"/>
          <w:u w:val="single"/>
        </w:rPr>
      </w:pPr>
    </w:p>
    <w:p>
      <w:pPr>
        <w:widowControl/>
        <w:adjustRightInd w:val="0"/>
        <w:snapToGrid w:val="0"/>
        <w:spacing w:before="156" w:beforeLines="50" w:line="360" w:lineRule="auto"/>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 xml:space="preserve"> 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sectPr>
      <w:footerReference r:id="rId9" w:type="default"/>
      <w:pgSz w:w="11906" w:h="16838"/>
      <w:pgMar w:top="1440" w:right="1140" w:bottom="1440" w:left="11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136AC"/>
    <w:multiLevelType w:val="singleLevel"/>
    <w:tmpl w:val="908136AC"/>
    <w:lvl w:ilvl="0" w:tentative="0">
      <w:start w:val="1"/>
      <w:numFmt w:val="decimal"/>
      <w:lvlText w:val="%1."/>
      <w:lvlJc w:val="left"/>
      <w:pPr>
        <w:tabs>
          <w:tab w:val="left" w:pos="312"/>
        </w:tabs>
      </w:pPr>
    </w:lvl>
  </w:abstractNum>
  <w:abstractNum w:abstractNumId="1">
    <w:nsid w:val="5949D9BE"/>
    <w:multiLevelType w:val="singleLevel"/>
    <w:tmpl w:val="5949D9BE"/>
    <w:lvl w:ilvl="0" w:tentative="0">
      <w:start w:val="1"/>
      <w:numFmt w:val="chineseCounting"/>
      <w:suff w:val="nothing"/>
      <w:lvlText w:val="%1、"/>
      <w:lvlJc w:val="left"/>
    </w:lvl>
  </w:abstractNum>
  <w:abstractNum w:abstractNumId="2">
    <w:nsid w:val="5A1A1AA1"/>
    <w:multiLevelType w:val="singleLevel"/>
    <w:tmpl w:val="5A1A1AA1"/>
    <w:lvl w:ilvl="0" w:tentative="0">
      <w:start w:val="7"/>
      <w:numFmt w:val="chineseCounting"/>
      <w:suff w:val="nothing"/>
      <w:lvlText w:val="%1、"/>
      <w:lvlJc w:val="left"/>
      <w:rPr>
        <w:rFonts w:hint="eastAsia"/>
      </w:rPr>
    </w:lvl>
  </w:abstractNum>
  <w:abstractNum w:abstractNumId="3">
    <w:nsid w:val="5A961BC4"/>
    <w:multiLevelType w:val="singleLevel"/>
    <w:tmpl w:val="5A961BC4"/>
    <w:lvl w:ilvl="0" w:tentative="0">
      <w:start w:val="8"/>
      <w:numFmt w:val="chineseCounting"/>
      <w:suff w:val="nothing"/>
      <w:lvlText w:val="%1、"/>
      <w:lvlJc w:val="left"/>
    </w:lvl>
  </w:abstractNum>
  <w:abstractNum w:abstractNumId="4">
    <w:nsid w:val="79D5070A"/>
    <w:multiLevelType w:val="singleLevel"/>
    <w:tmpl w:val="79D5070A"/>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WU0MGRiODY0ZTllOTYyODU2NzJkZTE2OGFkNjkifQ=="/>
  </w:docVars>
  <w:rsids>
    <w:rsidRoot w:val="00000000"/>
    <w:rsid w:val="0000747A"/>
    <w:rsid w:val="01F12967"/>
    <w:rsid w:val="04C47F6E"/>
    <w:rsid w:val="052849AD"/>
    <w:rsid w:val="05CA59F1"/>
    <w:rsid w:val="0645490E"/>
    <w:rsid w:val="06830921"/>
    <w:rsid w:val="06A905C3"/>
    <w:rsid w:val="070909F2"/>
    <w:rsid w:val="080F5750"/>
    <w:rsid w:val="09494739"/>
    <w:rsid w:val="0959014C"/>
    <w:rsid w:val="09BA5A83"/>
    <w:rsid w:val="0A3F46AC"/>
    <w:rsid w:val="0AD53A60"/>
    <w:rsid w:val="0B4650C6"/>
    <w:rsid w:val="0B884C29"/>
    <w:rsid w:val="0B8B296C"/>
    <w:rsid w:val="0BDD057D"/>
    <w:rsid w:val="0BF83807"/>
    <w:rsid w:val="0E6C74CB"/>
    <w:rsid w:val="0EE5332A"/>
    <w:rsid w:val="103D063F"/>
    <w:rsid w:val="109E187D"/>
    <w:rsid w:val="11726323"/>
    <w:rsid w:val="11CD034E"/>
    <w:rsid w:val="11FF600B"/>
    <w:rsid w:val="125970F6"/>
    <w:rsid w:val="12661F70"/>
    <w:rsid w:val="132869B2"/>
    <w:rsid w:val="1515222D"/>
    <w:rsid w:val="171157AF"/>
    <w:rsid w:val="17F04282"/>
    <w:rsid w:val="188260C7"/>
    <w:rsid w:val="19245CCD"/>
    <w:rsid w:val="1B1D6D8C"/>
    <w:rsid w:val="1B443701"/>
    <w:rsid w:val="1C0E117B"/>
    <w:rsid w:val="1CE15268"/>
    <w:rsid w:val="1DA4108D"/>
    <w:rsid w:val="1E1171BA"/>
    <w:rsid w:val="1E236A05"/>
    <w:rsid w:val="20302545"/>
    <w:rsid w:val="205F0ADF"/>
    <w:rsid w:val="207C47E3"/>
    <w:rsid w:val="209A1BEA"/>
    <w:rsid w:val="20E42483"/>
    <w:rsid w:val="21AC561F"/>
    <w:rsid w:val="21BF2393"/>
    <w:rsid w:val="244F7514"/>
    <w:rsid w:val="24F07693"/>
    <w:rsid w:val="25F7421F"/>
    <w:rsid w:val="270976ED"/>
    <w:rsid w:val="287953DF"/>
    <w:rsid w:val="2BCF5C63"/>
    <w:rsid w:val="2CFB6EDA"/>
    <w:rsid w:val="2E852BA7"/>
    <w:rsid w:val="2F3C0782"/>
    <w:rsid w:val="2F8740A1"/>
    <w:rsid w:val="31A67332"/>
    <w:rsid w:val="31EC1380"/>
    <w:rsid w:val="32AB7F56"/>
    <w:rsid w:val="32F25E89"/>
    <w:rsid w:val="356E3D56"/>
    <w:rsid w:val="366818D7"/>
    <w:rsid w:val="370401DD"/>
    <w:rsid w:val="37EE708E"/>
    <w:rsid w:val="395F68F0"/>
    <w:rsid w:val="396722DA"/>
    <w:rsid w:val="3A533251"/>
    <w:rsid w:val="3AF01321"/>
    <w:rsid w:val="3B1962D5"/>
    <w:rsid w:val="3CF74E26"/>
    <w:rsid w:val="3E593996"/>
    <w:rsid w:val="3E926441"/>
    <w:rsid w:val="3F29799E"/>
    <w:rsid w:val="3FE058A8"/>
    <w:rsid w:val="4154365E"/>
    <w:rsid w:val="417D5714"/>
    <w:rsid w:val="42B70031"/>
    <w:rsid w:val="447A7C55"/>
    <w:rsid w:val="47011EF2"/>
    <w:rsid w:val="470442A7"/>
    <w:rsid w:val="47B51E15"/>
    <w:rsid w:val="49026FCD"/>
    <w:rsid w:val="4904108C"/>
    <w:rsid w:val="49E669E4"/>
    <w:rsid w:val="4A6C3AD7"/>
    <w:rsid w:val="4A996CE2"/>
    <w:rsid w:val="4AC3656C"/>
    <w:rsid w:val="4AF15670"/>
    <w:rsid w:val="4B891905"/>
    <w:rsid w:val="4D4E45CA"/>
    <w:rsid w:val="4D9A4C4E"/>
    <w:rsid w:val="4E39442C"/>
    <w:rsid w:val="4F301293"/>
    <w:rsid w:val="4F303E42"/>
    <w:rsid w:val="4FC50193"/>
    <w:rsid w:val="4FFD502B"/>
    <w:rsid w:val="50BC38D2"/>
    <w:rsid w:val="510819CD"/>
    <w:rsid w:val="51594614"/>
    <w:rsid w:val="51C62686"/>
    <w:rsid w:val="530A7B05"/>
    <w:rsid w:val="543B00D0"/>
    <w:rsid w:val="54914D2D"/>
    <w:rsid w:val="587864B5"/>
    <w:rsid w:val="58863A6C"/>
    <w:rsid w:val="58B4679E"/>
    <w:rsid w:val="58DC26D5"/>
    <w:rsid w:val="5A3F42F0"/>
    <w:rsid w:val="5B8B1789"/>
    <w:rsid w:val="5C12058F"/>
    <w:rsid w:val="5EF16A4A"/>
    <w:rsid w:val="5FE008C0"/>
    <w:rsid w:val="5FE95E52"/>
    <w:rsid w:val="60804A3E"/>
    <w:rsid w:val="6204091A"/>
    <w:rsid w:val="63100C30"/>
    <w:rsid w:val="638756D7"/>
    <w:rsid w:val="63957B60"/>
    <w:rsid w:val="65916F04"/>
    <w:rsid w:val="685D05DD"/>
    <w:rsid w:val="6970724C"/>
    <w:rsid w:val="69AE4425"/>
    <w:rsid w:val="6A9B0AC1"/>
    <w:rsid w:val="6AE26B3A"/>
    <w:rsid w:val="6B533629"/>
    <w:rsid w:val="6C1E4C8E"/>
    <w:rsid w:val="6C41527C"/>
    <w:rsid w:val="6D157673"/>
    <w:rsid w:val="6E80652B"/>
    <w:rsid w:val="6EA5133D"/>
    <w:rsid w:val="70001D37"/>
    <w:rsid w:val="707D3709"/>
    <w:rsid w:val="711011F0"/>
    <w:rsid w:val="71552C51"/>
    <w:rsid w:val="72047A8C"/>
    <w:rsid w:val="729F3789"/>
    <w:rsid w:val="72A24391"/>
    <w:rsid w:val="75E30307"/>
    <w:rsid w:val="779B245D"/>
    <w:rsid w:val="77D05953"/>
    <w:rsid w:val="78D604BF"/>
    <w:rsid w:val="791E57DA"/>
    <w:rsid w:val="79A47D28"/>
    <w:rsid w:val="7A9C216B"/>
    <w:rsid w:val="7ACC7A19"/>
    <w:rsid w:val="7C4C4671"/>
    <w:rsid w:val="7E1F2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b/>
      <w:bCs/>
      <w:sz w:val="24"/>
      <w:szCs w:val="20"/>
    </w:rPr>
  </w:style>
  <w:style w:type="paragraph" w:styleId="2">
    <w:name w:val="heading 2"/>
    <w:basedOn w:val="1"/>
    <w:next w:val="3"/>
    <w:qFormat/>
    <w:uiPriority w:val="0"/>
    <w:pPr>
      <w:keepNext/>
      <w:keepLines/>
      <w:adjustRightInd w:val="0"/>
      <w:snapToGrid w:val="0"/>
      <w:spacing w:line="360" w:lineRule="auto"/>
      <w:jc w:val="left"/>
      <w:outlineLvl w:val="1"/>
    </w:pPr>
    <w:rPr>
      <w:rFonts w:ascii="宋体" w:hAnsi="宋体" w:eastAsia="黑体"/>
      <w:bCs/>
      <w:kern w:val="0"/>
      <w:sz w:val="3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5">
    <w:name w:val="Body Text Indent"/>
    <w:basedOn w:val="1"/>
    <w:next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Body Text First Indent 2"/>
    <w:basedOn w:val="5"/>
    <w:next w:val="1"/>
    <w:semiHidden/>
    <w:qFormat/>
    <w:uiPriority w:val="0"/>
    <w:pPr>
      <w:ind w:left="480" w:firstLine="210" w:firstLineChars="100"/>
      <w:jc w:val="left"/>
    </w:pPr>
    <w:rPr>
      <w:rFonts w:ascii="DFKai-SB" w:eastAsia="DFKai-SB"/>
      <w:kern w:val="0"/>
      <w:sz w:val="28"/>
      <w:szCs w:val="20"/>
      <w:lang w:eastAsia="zh-TW"/>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136EC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3399</Words>
  <Characters>3592</Characters>
  <Lines>0</Lines>
  <Paragraphs>0</Paragraphs>
  <TotalTime>0</TotalTime>
  <ScaleCrop>false</ScaleCrop>
  <LinksUpToDate>false</LinksUpToDate>
  <CharactersWithSpaces>4370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2022-06-21T01:36:00Z</cp:lastPrinted>
  <dcterms:modified xsi:type="dcterms:W3CDTF">2022-06-30T01:22:42Z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C48A4D21F9AA4BE9A22D56808698B494</vt:lpwstr>
  </property>
</Properties>
</file>